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245BD">
      <w:pPr>
        <w:pStyle w:val="Default"/>
      </w:pPr>
    </w:p>
    <w:p w:rsidR="00000000" w:rsidRDefault="001245BD">
      <w:pPr>
        <w:pStyle w:val="Default"/>
        <w:spacing w:after="1642" w:line="380" w:lineRule="atLeast"/>
        <w:jc w:val="center"/>
        <w:rPr>
          <w:sz w:val="31"/>
          <w:szCs w:val="31"/>
        </w:rPr>
      </w:pPr>
      <w:r>
        <w:t xml:space="preserve"> </w:t>
      </w:r>
      <w:r>
        <w:rPr>
          <w:sz w:val="31"/>
          <w:szCs w:val="31"/>
        </w:rPr>
        <w:t xml:space="preserve">PROVISION PROGRAMA FONDO DE INNOVACIÓN PARA LA COMPETITIVIDAD (FIC REGIONAL) </w:t>
      </w:r>
    </w:p>
    <w:p w:rsidR="00000000" w:rsidRDefault="001245BD">
      <w:pPr>
        <w:pStyle w:val="CM34"/>
        <w:spacing w:after="862" w:line="478" w:lineRule="atLeast"/>
        <w:jc w:val="center"/>
        <w:rPr>
          <w:rFonts w:cs="TTE23EEF90t00"/>
          <w:color w:val="000000"/>
          <w:sz w:val="39"/>
          <w:szCs w:val="39"/>
        </w:rPr>
      </w:pPr>
      <w:r>
        <w:rPr>
          <w:rFonts w:cs="TTE23EEF90t00"/>
          <w:color w:val="000000"/>
          <w:sz w:val="39"/>
          <w:szCs w:val="39"/>
        </w:rPr>
        <w:t xml:space="preserve">BASES DE CONCURSO FIC REGIONAL, 2012 “FINANCIAMIENTO DE INICIATIVAS INNOVADORAS A </w:t>
      </w:r>
      <w:r>
        <w:rPr>
          <w:rFonts w:cs="TTE23EEF90t00"/>
          <w:color w:val="000000"/>
          <w:sz w:val="39"/>
          <w:szCs w:val="39"/>
        </w:rPr>
        <w:t xml:space="preserve">UNIVERSIDADES Y CENTROS ACREDITADOS” </w:t>
      </w:r>
    </w:p>
    <w:p w:rsidR="00000000" w:rsidRDefault="007433DA" w:rsidP="007433DA">
      <w:pPr>
        <w:pStyle w:val="Default"/>
        <w:framePr w:w="4543" w:wrap="auto" w:vAnchor="page" w:hAnchor="page" w:x="3841" w:y="8821"/>
        <w:spacing w:after="840"/>
        <w:jc w:val="center"/>
        <w:rPr>
          <w:sz w:val="39"/>
          <w:szCs w:val="39"/>
        </w:rPr>
      </w:pPr>
      <w:r>
        <w:rPr>
          <w:noProof/>
          <w:sz w:val="39"/>
          <w:szCs w:val="39"/>
        </w:rPr>
        <w:drawing>
          <wp:inline distT="0" distB="0" distL="0" distR="0">
            <wp:extent cx="2371725" cy="30384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371725" cy="3038475"/>
                    </a:xfrm>
                    <a:prstGeom prst="rect">
                      <a:avLst/>
                    </a:prstGeom>
                    <a:noFill/>
                    <a:ln w="9525">
                      <a:noFill/>
                      <a:miter lim="800000"/>
                      <a:headEnd/>
                      <a:tailEnd/>
                    </a:ln>
                  </pic:spPr>
                </pic:pic>
              </a:graphicData>
            </a:graphic>
          </wp:inline>
        </w:drawing>
      </w:r>
    </w:p>
    <w:p w:rsidR="00000000" w:rsidRDefault="001245BD">
      <w:pPr>
        <w:pStyle w:val="CM1"/>
        <w:jc w:val="center"/>
        <w:rPr>
          <w:rFonts w:ascii="TTE23F97D0t00" w:hAnsi="TTE23F97D0t00" w:cs="TTE23F97D0t00"/>
          <w:color w:val="000000"/>
          <w:sz w:val="39"/>
          <w:szCs w:val="39"/>
        </w:rPr>
      </w:pPr>
      <w:r>
        <w:rPr>
          <w:rFonts w:ascii="TTE23F97D0t00" w:hAnsi="TTE23F97D0t00" w:cs="TTE23F97D0t00"/>
          <w:color w:val="000000"/>
          <w:sz w:val="39"/>
          <w:szCs w:val="39"/>
        </w:rPr>
        <w:t xml:space="preserve">GOBIERNO REGIONAL DE MAGALLANES Y ANTÁRTICA CHILENA </w:t>
      </w:r>
    </w:p>
    <w:p w:rsidR="00000000" w:rsidRDefault="007433DA">
      <w:pPr>
        <w:pStyle w:val="Default"/>
        <w:pageBreakBefore/>
        <w:framePr w:w="1488" w:wrap="auto" w:vAnchor="page" w:hAnchor="page" w:x="1683" w:y="1404"/>
        <w:spacing w:after="220"/>
        <w:rPr>
          <w:rFonts w:ascii="TTE23F97D0t00" w:hAnsi="TTE23F97D0t00" w:cs="TTE23F97D0t00"/>
          <w:sz w:val="39"/>
          <w:szCs w:val="39"/>
        </w:rPr>
      </w:pPr>
      <w:r>
        <w:rPr>
          <w:rFonts w:ascii="TTE23F97D0t00" w:hAnsi="TTE23F97D0t00" w:cs="TTE23F97D0t00"/>
          <w:noProof/>
          <w:sz w:val="39"/>
          <w:szCs w:val="39"/>
        </w:rPr>
        <w:lastRenderedPageBreak/>
        <w:drawing>
          <wp:inline distT="0" distB="0" distL="0" distR="0">
            <wp:extent cx="447675" cy="5619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5"/>
        <w:spacing w:after="62"/>
        <w:jc w:val="center"/>
        <w:rPr>
          <w:rFonts w:cs="TTE23EEF90t00"/>
          <w:color w:val="000000"/>
          <w:sz w:val="35"/>
          <w:szCs w:val="35"/>
        </w:rPr>
      </w:pPr>
      <w:r>
        <w:rPr>
          <w:rFonts w:cs="TTE23EEF90t00"/>
          <w:color w:val="000000"/>
          <w:sz w:val="35"/>
          <w:szCs w:val="35"/>
        </w:rPr>
        <w:t xml:space="preserve">INDICE </w:t>
      </w:r>
    </w:p>
    <w:p w:rsidR="00000000" w:rsidRDefault="001245BD">
      <w:pPr>
        <w:pStyle w:val="CM39"/>
        <w:spacing w:after="87" w:line="516" w:lineRule="atLeast"/>
        <w:ind w:firstLine="7777"/>
        <w:rPr>
          <w:rFonts w:cs="TTE23EEF90t00"/>
          <w:color w:val="000000"/>
          <w:sz w:val="21"/>
          <w:szCs w:val="21"/>
        </w:rPr>
      </w:pPr>
      <w:r>
        <w:rPr>
          <w:rFonts w:cs="TTE23EEF90t00"/>
          <w:color w:val="000000"/>
          <w:sz w:val="27"/>
          <w:szCs w:val="27"/>
        </w:rPr>
        <w:t xml:space="preserve">PÁGINA </w:t>
      </w:r>
      <w:r>
        <w:rPr>
          <w:rFonts w:cs="TTE23EEF90t00"/>
          <w:color w:val="000000"/>
          <w:sz w:val="21"/>
          <w:szCs w:val="21"/>
        </w:rPr>
        <w:t>1.-DI</w:t>
      </w:r>
      <w:r>
        <w:rPr>
          <w:rFonts w:cs="TTE23EEF90t00"/>
          <w:color w:val="000000"/>
          <w:sz w:val="21"/>
          <w:szCs w:val="21"/>
        </w:rPr>
        <w:t>SPOSICIONES GENERALES</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 xml:space="preserve"> 2 </w:t>
      </w:r>
    </w:p>
    <w:p w:rsidR="00000000" w:rsidRDefault="001245BD">
      <w:pPr>
        <w:pStyle w:val="CM37"/>
        <w:spacing w:after="277" w:line="620" w:lineRule="atLeast"/>
        <w:rPr>
          <w:rFonts w:cs="TTE23EEF90t00"/>
          <w:color w:val="000000"/>
          <w:sz w:val="21"/>
          <w:szCs w:val="21"/>
        </w:rPr>
      </w:pPr>
      <w:r>
        <w:rPr>
          <w:rFonts w:cs="TTE23EEF90t00"/>
          <w:color w:val="000000"/>
          <w:sz w:val="21"/>
          <w:szCs w:val="21"/>
        </w:rPr>
        <w:t>2.-DE LOS PARTICIPANTES EN EL CONCURSO</w:t>
      </w:r>
      <w:r>
        <w:rPr>
          <w:rFonts w:cs="TTE23EEF90t00"/>
          <w:color w:val="000000"/>
          <w:sz w:val="21"/>
          <w:szCs w:val="21"/>
        </w:rPr>
        <w:t>…………………</w:t>
      </w:r>
      <w:r>
        <w:rPr>
          <w:rFonts w:cs="TTE23EEF90t00"/>
          <w:color w:val="000000"/>
          <w:sz w:val="21"/>
          <w:szCs w:val="21"/>
        </w:rPr>
        <w:t xml:space="preserve">....................................... 3 3.-PRIORIZACIÓN DE RECURSOS </w:t>
      </w:r>
      <w:r>
        <w:rPr>
          <w:rFonts w:cs="TTE23EEF90t00"/>
          <w:color w:val="000000"/>
          <w:sz w:val="21"/>
          <w:szCs w:val="21"/>
        </w:rPr>
        <w:t>…………………………………………………………………………</w:t>
      </w:r>
      <w:r>
        <w:rPr>
          <w:rFonts w:cs="TTE23EEF90t00"/>
          <w:color w:val="000000"/>
          <w:sz w:val="21"/>
          <w:szCs w:val="21"/>
        </w:rPr>
        <w:t xml:space="preserve"> 4 4.-ASIGNACION REGIONAL DE LA PROVISION PROGRAMA</w:t>
      </w:r>
      <w:r>
        <w:rPr>
          <w:rFonts w:cs="TTE23EEF90t00"/>
          <w:color w:val="000000"/>
          <w:sz w:val="21"/>
          <w:szCs w:val="21"/>
        </w:rPr>
        <w:t>…………………</w:t>
      </w:r>
      <w:r>
        <w:rPr>
          <w:rFonts w:cs="TTE23EEF90t00"/>
          <w:color w:val="000000"/>
          <w:sz w:val="21"/>
          <w:szCs w:val="21"/>
        </w:rPr>
        <w:t>………………</w:t>
      </w:r>
      <w:r>
        <w:rPr>
          <w:rFonts w:cs="TTE23EEF90t00"/>
          <w:color w:val="000000"/>
          <w:sz w:val="21"/>
          <w:szCs w:val="21"/>
        </w:rPr>
        <w:t xml:space="preserve">.. 6 5-COMISION REGIONAL DE EVALUACION </w:t>
      </w:r>
      <w:r>
        <w:rPr>
          <w:rFonts w:cs="TTE23EEF90t00"/>
          <w:color w:val="000000"/>
          <w:sz w:val="21"/>
          <w:szCs w:val="21"/>
        </w:rPr>
        <w:t>…………………………………………………………</w:t>
      </w:r>
      <w:r>
        <w:rPr>
          <w:rFonts w:cs="TTE23EEF90t00"/>
          <w:color w:val="000000"/>
          <w:sz w:val="21"/>
          <w:szCs w:val="21"/>
        </w:rPr>
        <w:t xml:space="preserve">.. 8 6-RESULTADOS </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 xml:space="preserve"> 11 7.-IDENTIFICACION DE GASTOS</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 11 8.-DURACION DE LOS PROYECTOS</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 xml:space="preserve"> 12 </w:t>
      </w:r>
      <w:r>
        <w:rPr>
          <w:rFonts w:cs="TTE23EEF90t00"/>
          <w:color w:val="000000"/>
          <w:sz w:val="21"/>
          <w:szCs w:val="21"/>
        </w:rPr>
        <w:t>9.-RECEPCION DE ANTECEDENTES..</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 xml:space="preserve">. 12 10.-ACEPTACION DE LAS BASES </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 xml:space="preserve"> 13 11.-RESTRICCIONES E INHABILIDADES</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w:t>
      </w:r>
      <w:r>
        <w:rPr>
          <w:rFonts w:cs="TTE23EEF90t00"/>
          <w:color w:val="000000"/>
          <w:sz w:val="21"/>
          <w:szCs w:val="21"/>
        </w:rPr>
        <w:t xml:space="preserve"> 13 </w:t>
      </w:r>
    </w:p>
    <w:p w:rsidR="00000000" w:rsidRDefault="001245BD">
      <w:pPr>
        <w:pStyle w:val="Default"/>
        <w:spacing w:line="376" w:lineRule="atLeast"/>
        <w:ind w:left="690" w:right="195" w:hanging="690"/>
        <w:rPr>
          <w:sz w:val="21"/>
          <w:szCs w:val="21"/>
        </w:rPr>
      </w:pPr>
      <w:r>
        <w:rPr>
          <w:sz w:val="21"/>
          <w:szCs w:val="21"/>
        </w:rPr>
        <w:t>12.-TRANSFERENCIA DE RECURSOS</w:t>
      </w:r>
      <w:r>
        <w:rPr>
          <w:sz w:val="21"/>
          <w:szCs w:val="21"/>
        </w:rPr>
        <w:t>……………………………</w:t>
      </w:r>
      <w:r>
        <w:rPr>
          <w:sz w:val="21"/>
          <w:szCs w:val="21"/>
        </w:rPr>
        <w:t>.. ..</w:t>
      </w:r>
      <w:r>
        <w:rPr>
          <w:sz w:val="21"/>
          <w:szCs w:val="21"/>
        </w:rPr>
        <w:t>………………</w:t>
      </w:r>
      <w:r>
        <w:rPr>
          <w:sz w:val="21"/>
          <w:szCs w:val="21"/>
        </w:rPr>
        <w:t>.</w:t>
      </w:r>
      <w:r>
        <w:rPr>
          <w:sz w:val="21"/>
          <w:szCs w:val="21"/>
        </w:rPr>
        <w:t>…………………</w:t>
      </w:r>
      <w:r>
        <w:rPr>
          <w:sz w:val="21"/>
          <w:szCs w:val="21"/>
        </w:rPr>
        <w:t>.. 13</w:t>
      </w:r>
      <w:r>
        <w:rPr>
          <w:sz w:val="21"/>
          <w:szCs w:val="21"/>
        </w:rPr>
        <w:t xml:space="preserve"> ANEXO 1 FICHA PRESENTACION DE INICIATIVAS</w:t>
      </w:r>
      <w:r>
        <w:rPr>
          <w:sz w:val="21"/>
          <w:szCs w:val="21"/>
        </w:rPr>
        <w:t>…………………………</w:t>
      </w:r>
      <w:r>
        <w:rPr>
          <w:sz w:val="21"/>
          <w:szCs w:val="21"/>
        </w:rPr>
        <w:t>..</w:t>
      </w:r>
      <w:r>
        <w:rPr>
          <w:sz w:val="21"/>
          <w:szCs w:val="21"/>
        </w:rPr>
        <w:t>……………</w:t>
      </w:r>
      <w:r>
        <w:rPr>
          <w:sz w:val="21"/>
          <w:szCs w:val="21"/>
        </w:rPr>
        <w:t>.</w:t>
      </w:r>
      <w:r>
        <w:rPr>
          <w:sz w:val="21"/>
          <w:szCs w:val="21"/>
        </w:rPr>
        <w:t>…</w:t>
      </w:r>
      <w:r>
        <w:rPr>
          <w:sz w:val="21"/>
          <w:szCs w:val="21"/>
        </w:rPr>
        <w:t>.. 15 ANEXO 2 ANTECEDENTES ADMISIBILIDAD</w:t>
      </w:r>
      <w:r>
        <w:rPr>
          <w:sz w:val="21"/>
          <w:szCs w:val="21"/>
        </w:rPr>
        <w:t>……………………………………………</w:t>
      </w:r>
      <w:r>
        <w:rPr>
          <w:sz w:val="21"/>
          <w:szCs w:val="21"/>
        </w:rPr>
        <w:t>..</w:t>
      </w:r>
      <w:r>
        <w:rPr>
          <w:sz w:val="21"/>
          <w:szCs w:val="21"/>
        </w:rPr>
        <w:t>………</w:t>
      </w:r>
      <w:r>
        <w:rPr>
          <w:sz w:val="21"/>
          <w:szCs w:val="21"/>
        </w:rPr>
        <w:t>.. 19 ANEXO 3 POLITICA REGIONAL DE CTI, 2012-2020</w:t>
      </w:r>
      <w:r>
        <w:rPr>
          <w:sz w:val="21"/>
          <w:szCs w:val="21"/>
        </w:rPr>
        <w:t>…………</w:t>
      </w:r>
      <w:r>
        <w:rPr>
          <w:sz w:val="21"/>
          <w:szCs w:val="21"/>
        </w:rPr>
        <w:t>..</w:t>
      </w:r>
      <w:r>
        <w:rPr>
          <w:sz w:val="21"/>
          <w:szCs w:val="21"/>
        </w:rPr>
        <w:t>……………</w:t>
      </w:r>
      <w:r>
        <w:rPr>
          <w:sz w:val="21"/>
          <w:szCs w:val="21"/>
        </w:rPr>
        <w:t>.</w:t>
      </w:r>
      <w:r>
        <w:rPr>
          <w:sz w:val="21"/>
          <w:szCs w:val="21"/>
        </w:rPr>
        <w:t>……</w:t>
      </w:r>
      <w:r>
        <w:rPr>
          <w:sz w:val="21"/>
          <w:szCs w:val="21"/>
        </w:rPr>
        <w:t>.</w:t>
      </w:r>
      <w:r>
        <w:rPr>
          <w:sz w:val="21"/>
          <w:szCs w:val="21"/>
        </w:rPr>
        <w:t>……………</w:t>
      </w:r>
      <w:r>
        <w:rPr>
          <w:sz w:val="21"/>
          <w:szCs w:val="21"/>
        </w:rPr>
        <w:t>.. 23 ANEXO 4 DECRETO Nº 68, MINISTERIO DE ECONOMIA</w:t>
      </w:r>
      <w:r>
        <w:rPr>
          <w:sz w:val="21"/>
          <w:szCs w:val="21"/>
        </w:rPr>
        <w:t>…………………………………</w:t>
      </w:r>
      <w:r>
        <w:rPr>
          <w:sz w:val="21"/>
          <w:szCs w:val="21"/>
        </w:rPr>
        <w:t>…</w:t>
      </w:r>
      <w:r>
        <w:rPr>
          <w:sz w:val="21"/>
          <w:szCs w:val="21"/>
        </w:rPr>
        <w:t>. 26 ANEXO 5 TEXTO RESUMIDO RESOLUCION Nº 68, SUBDERE</w:t>
      </w:r>
      <w:r>
        <w:rPr>
          <w:sz w:val="21"/>
          <w:szCs w:val="21"/>
        </w:rPr>
        <w:t>……………………………</w:t>
      </w:r>
      <w:r>
        <w:rPr>
          <w:sz w:val="21"/>
          <w:szCs w:val="21"/>
        </w:rPr>
        <w:t xml:space="preserve">.. 33 </w:t>
      </w:r>
    </w:p>
    <w:p w:rsidR="00000000" w:rsidRDefault="007433DA">
      <w:pPr>
        <w:pStyle w:val="Default"/>
        <w:pageBreakBefore/>
        <w:framePr w:w="1488" w:wrap="auto" w:vAnchor="page" w:hAnchor="page" w:x="1683" w:y="1404"/>
        <w:spacing w:after="240"/>
        <w:rPr>
          <w:sz w:val="21"/>
          <w:szCs w:val="21"/>
        </w:rPr>
      </w:pPr>
      <w:r>
        <w:rPr>
          <w:noProof/>
          <w:sz w:val="21"/>
          <w:szCs w:val="21"/>
        </w:rPr>
        <w:lastRenderedPageBreak/>
        <w:drawing>
          <wp:inline distT="0" distB="0" distL="0" distR="0">
            <wp:extent cx="447675" cy="5619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jc w:val="both"/>
        <w:rPr>
          <w:rFonts w:cs="TTE23EEF90t00"/>
          <w:color w:val="000000"/>
          <w:sz w:val="23"/>
          <w:szCs w:val="23"/>
        </w:rPr>
      </w:pPr>
      <w:r>
        <w:rPr>
          <w:rFonts w:cs="TTE23EEF90t00"/>
          <w:color w:val="000000"/>
          <w:sz w:val="23"/>
          <w:szCs w:val="23"/>
        </w:rPr>
        <w:t xml:space="preserve">1. DISPOSICIONES GENERALES </w:t>
      </w:r>
    </w:p>
    <w:p w:rsidR="00000000" w:rsidRDefault="001245BD">
      <w:pPr>
        <w:pStyle w:val="CM3"/>
        <w:jc w:val="both"/>
        <w:rPr>
          <w:rFonts w:ascii="TTE1D653F0t00" w:hAnsi="TTE1D653F0t00" w:cs="TTE1D653F0t00"/>
          <w:color w:val="000000"/>
          <w:sz w:val="23"/>
          <w:szCs w:val="23"/>
        </w:rPr>
      </w:pPr>
      <w:r>
        <w:rPr>
          <w:rFonts w:ascii="TTE1D653F0t00" w:hAnsi="TTE1D653F0t00" w:cs="TTE1D653F0t00"/>
          <w:color w:val="000000"/>
          <w:sz w:val="23"/>
          <w:szCs w:val="23"/>
        </w:rPr>
        <w:t>El presente Concurso dirigido a universidades y centros acreditados, según Ley de Pr</w:t>
      </w:r>
      <w:r>
        <w:rPr>
          <w:rFonts w:ascii="TTE1D653F0t00" w:hAnsi="TTE1D653F0t00" w:cs="TTE1D653F0t00"/>
          <w:color w:val="000000"/>
          <w:sz w:val="23"/>
          <w:szCs w:val="23"/>
        </w:rPr>
        <w:t xml:space="preserve">esupuestos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20.557 del año 2012 y la Resolución de la Subsecretaría de Desarrollo Regional y Administrativo, Nº 277, del 30 de diciembre de 2011, contempla el financiamiento de iniciativas de innovación orientadas a contribuir a la competitividad regional.</w:t>
      </w:r>
      <w:r>
        <w:rPr>
          <w:rFonts w:ascii="TTE1D653F0t00" w:hAnsi="TTE1D653F0t00" w:cs="TTE1D653F0t00"/>
          <w:color w:val="000000"/>
          <w:sz w:val="23"/>
          <w:szCs w:val="23"/>
        </w:rPr>
        <w:t xml:space="preserve">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En consecuencia, se privilegiarán aquellas iniciativas que respondan a las prioridades que se establezcan en la implementación de la Política Regional de Ciencia, Tecnología e Innovación vigente en coherencia con la finalidad y el propósito de la Provisi</w:t>
      </w:r>
      <w:r>
        <w:rPr>
          <w:rFonts w:ascii="TTE1D653F0t00" w:hAnsi="TTE1D653F0t00" w:cs="TTE1D653F0t00"/>
          <w:color w:val="000000"/>
          <w:sz w:val="23"/>
          <w:szCs w:val="23"/>
        </w:rPr>
        <w:t xml:space="preserve">ón Programa Fondo de Innovación para la Competitividad. </w:t>
      </w:r>
    </w:p>
    <w:p w:rsidR="00000000" w:rsidRDefault="001245BD">
      <w:pPr>
        <w:pStyle w:val="CM37"/>
        <w:spacing w:after="277" w:line="288" w:lineRule="atLeast"/>
        <w:jc w:val="both"/>
        <w:rPr>
          <w:rFonts w:cs="TTE23EEF90t00"/>
          <w:color w:val="000000"/>
          <w:sz w:val="23"/>
          <w:szCs w:val="23"/>
        </w:rPr>
      </w:pPr>
      <w:r>
        <w:rPr>
          <w:rFonts w:cs="TTE23EEF90t00"/>
          <w:color w:val="000000"/>
          <w:sz w:val="23"/>
          <w:szCs w:val="23"/>
        </w:rPr>
        <w:t xml:space="preserve">CONSIDERANDO: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1º.-Que, de acuerdo con lo dispuesto en los artículos 16, letra a), artículo 18, letra c), y articulo 20, letra e) de la Ley Nº 19.175, Orgá</w:t>
      </w:r>
      <w:r>
        <w:rPr>
          <w:rFonts w:ascii="TTE1D653F0t00" w:hAnsi="TTE1D653F0t00" w:cs="TTE1D653F0t00"/>
          <w:color w:val="000000"/>
          <w:sz w:val="23"/>
          <w:szCs w:val="23"/>
        </w:rPr>
        <w:t>nica Constitucional sobre Gobierno y Administración Regional, corresponde al Gobierno Regional, respectivamente: a) elaborar y aprobar las políticas, planes y programas de desarrollo de la región, en coherencia con las políticas nacionales y el presupuesto</w:t>
      </w:r>
      <w:r>
        <w:rPr>
          <w:rFonts w:ascii="TTE1D653F0t00" w:hAnsi="TTE1D653F0t00" w:cs="TTE1D653F0t00"/>
          <w:color w:val="000000"/>
          <w:sz w:val="23"/>
          <w:szCs w:val="23"/>
        </w:rPr>
        <w:t xml:space="preserve"> de la nación, c) “promover la investigación científica y tecnológica y preocuparse por el desarrollo de la educación superior y técnica en la región”; e) aplicar las políticas regionales definidas, en el marco de sus atribuciones.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2°.-Que, el presente ac</w:t>
      </w:r>
      <w:r>
        <w:rPr>
          <w:rFonts w:ascii="TTE1D653F0t00" w:hAnsi="TTE1D653F0t00" w:cs="TTE1D653F0t00"/>
          <w:color w:val="000000"/>
          <w:sz w:val="23"/>
          <w:szCs w:val="23"/>
        </w:rPr>
        <w:t xml:space="preserve">to administrativo observa lo dispuesto en lo pertinente por la Glosa Nº 15 de la partida 05, capítulo 05, Programa 01, y subtítulo 33, del presupuesto del Ministerio del Interior – Subsecretaría de Desarrollo Regional y Administrativo – Provisión Programa </w:t>
      </w:r>
      <w:r>
        <w:rPr>
          <w:rFonts w:ascii="TTE1D653F0t00" w:hAnsi="TTE1D653F0t00" w:cs="TTE1D653F0t00"/>
          <w:color w:val="000000"/>
          <w:sz w:val="23"/>
          <w:szCs w:val="23"/>
        </w:rPr>
        <w:t xml:space="preserve">Fondo de Innovación para la Competitividad, correspondiente al año 2012 y la Resolución Nº 277 del 30 de diciembre de 2011 de Subsecretaría de Desarrollo Regional y Administrativo. </w:t>
      </w:r>
    </w:p>
    <w:p w:rsidR="00000000" w:rsidRDefault="001245BD">
      <w:pPr>
        <w:pStyle w:val="CM38"/>
        <w:spacing w:after="205" w:line="331" w:lineRule="atLeast"/>
        <w:jc w:val="both"/>
        <w:rPr>
          <w:rFonts w:ascii="TTE1D653F0t00" w:hAnsi="TTE1D653F0t00" w:cs="TTE1D653F0t00"/>
          <w:color w:val="000000"/>
          <w:sz w:val="23"/>
          <w:szCs w:val="23"/>
        </w:rPr>
      </w:pPr>
      <w:r>
        <w:rPr>
          <w:rFonts w:ascii="TTE1D653F0t00" w:hAnsi="TTE1D653F0t00" w:cs="TTE1D653F0t00"/>
          <w:color w:val="000000"/>
          <w:sz w:val="23"/>
          <w:szCs w:val="23"/>
        </w:rPr>
        <w:t>3º.-Que, atendido lo anterior, el Gobierno Regional de Magallanes y Antárt</w:t>
      </w:r>
      <w:r>
        <w:rPr>
          <w:rFonts w:ascii="TTE1D653F0t00" w:hAnsi="TTE1D653F0t00" w:cs="TTE1D653F0t00"/>
          <w:color w:val="000000"/>
          <w:sz w:val="23"/>
          <w:szCs w:val="23"/>
        </w:rPr>
        <w:t xml:space="preserve">ica Chilena elaboró las Bases de Concurso y sus Anexos para la “FINANCIAMIENTO DE INICIATIVAS INNOVADORAS A UNIVERSIDADES Y CENTROS ACREDITADOS, 2012”, con recursos dispuestos en la Provisión Programa FIC. </w:t>
      </w:r>
    </w:p>
    <w:p w:rsidR="00000000" w:rsidRDefault="001245BD">
      <w:pPr>
        <w:pStyle w:val="CM38"/>
        <w:spacing w:after="205" w:line="331" w:lineRule="atLeast"/>
        <w:jc w:val="both"/>
        <w:rPr>
          <w:rFonts w:cs="TTE23EEF90t00"/>
          <w:color w:val="000000"/>
          <w:sz w:val="23"/>
          <w:szCs w:val="23"/>
        </w:rPr>
      </w:pPr>
      <w:r>
        <w:rPr>
          <w:rFonts w:cs="TTE23EEF90t00"/>
          <w:color w:val="000000"/>
          <w:sz w:val="23"/>
          <w:szCs w:val="23"/>
        </w:rPr>
        <w:t xml:space="preserve">ANTECEDENTES RELEVANTES </w:t>
      </w:r>
    </w:p>
    <w:p w:rsidR="00000000" w:rsidRDefault="001245BD">
      <w:pPr>
        <w:pStyle w:val="CM5"/>
        <w:jc w:val="both"/>
        <w:rPr>
          <w:rFonts w:ascii="TTE1D653F0t00" w:hAnsi="TTE1D653F0t00" w:cs="TTE1D653F0t00"/>
          <w:color w:val="000000"/>
          <w:sz w:val="23"/>
          <w:szCs w:val="23"/>
        </w:rPr>
      </w:pPr>
      <w:r>
        <w:rPr>
          <w:rFonts w:ascii="TTE1D653F0t00" w:hAnsi="TTE1D653F0t00" w:cs="TTE1D653F0t00"/>
          <w:color w:val="000000"/>
          <w:sz w:val="23"/>
          <w:szCs w:val="23"/>
        </w:rPr>
        <w:t>La Provisión Programa Fo</w:t>
      </w:r>
      <w:r>
        <w:rPr>
          <w:rFonts w:ascii="TTE1D653F0t00" w:hAnsi="TTE1D653F0t00" w:cs="TTE1D653F0t00"/>
          <w:color w:val="000000"/>
          <w:sz w:val="23"/>
          <w:szCs w:val="23"/>
        </w:rPr>
        <w:t>ndo de Innovación para la Competitividad, FIC Regional, creada en el año 2008, tiene la finalidad de contribuir al desarrollo económico de los territorios, promoviendo la innovación regional y el aumento de la competitividad en el marco del sistema naciona</w:t>
      </w:r>
      <w:r>
        <w:rPr>
          <w:rFonts w:ascii="TTE1D653F0t00" w:hAnsi="TTE1D653F0t00" w:cs="TTE1D653F0t00"/>
          <w:color w:val="000000"/>
          <w:sz w:val="23"/>
          <w:szCs w:val="23"/>
        </w:rPr>
        <w:t>l de innovación. El propósito de este Programa FIC Regional es aportar al desarrollo de sistemas regionales de innovación más eficaces, a partir de lograr una conexión efectiva de la oferta de conocimientos existente con la demanda de innovación de las emp</w:t>
      </w:r>
      <w:r>
        <w:rPr>
          <w:rFonts w:ascii="TTE1D653F0t00" w:hAnsi="TTE1D653F0t00" w:cs="TTE1D653F0t00"/>
          <w:color w:val="000000"/>
          <w:sz w:val="23"/>
          <w:szCs w:val="23"/>
        </w:rPr>
        <w:t xml:space="preserve">resas locales, del mercado y de la comunidad regional. </w:t>
      </w:r>
    </w:p>
    <w:p w:rsidR="00000000" w:rsidRDefault="007433DA">
      <w:pPr>
        <w:pStyle w:val="Default"/>
        <w:pageBreakBefore/>
        <w:framePr w:w="1488" w:wrap="auto" w:vAnchor="page" w:hAnchor="page" w:x="1683" w:y="1404"/>
        <w:spacing w:after="760"/>
        <w:rPr>
          <w:rFonts w:ascii="TTE1D653F0t00" w:hAnsi="TTE1D653F0t00" w:cs="TTE1D653F0t00"/>
          <w:sz w:val="23"/>
          <w:szCs w:val="23"/>
        </w:rPr>
      </w:pPr>
      <w:r>
        <w:rPr>
          <w:rFonts w:ascii="TTE1D653F0t00" w:hAnsi="TTE1D653F0t00" w:cs="TTE1D653F0t00"/>
          <w:noProof/>
          <w:sz w:val="23"/>
          <w:szCs w:val="23"/>
        </w:rPr>
        <w:lastRenderedPageBreak/>
        <w:drawing>
          <wp:inline distT="0" distB="0" distL="0" distR="0">
            <wp:extent cx="447675" cy="5619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line="331" w:lineRule="atLeast"/>
        <w:jc w:val="both"/>
        <w:rPr>
          <w:rFonts w:ascii="TTE1D653F0t00" w:hAnsi="TTE1D653F0t00" w:cs="TTE1D653F0t00"/>
          <w:color w:val="000000"/>
          <w:sz w:val="23"/>
          <w:szCs w:val="23"/>
        </w:rPr>
      </w:pPr>
      <w:r>
        <w:rPr>
          <w:rFonts w:ascii="TTE1D653F0t00" w:hAnsi="TTE1D653F0t00" w:cs="TTE1D653F0t00"/>
          <w:color w:val="000000"/>
          <w:sz w:val="23"/>
          <w:szCs w:val="23"/>
        </w:rPr>
        <w:t>En el año 2012 la Provisión Programa FIC Regional, de asignación descentralizada por el Gobierno Regional, podrá</w:t>
      </w:r>
      <w:r>
        <w:rPr>
          <w:rFonts w:ascii="TTE1D653F0t00" w:hAnsi="TTE1D653F0t00" w:cs="TTE1D653F0t00"/>
          <w:color w:val="000000"/>
          <w:sz w:val="23"/>
          <w:szCs w:val="23"/>
        </w:rPr>
        <w:t xml:space="preserve"> destinar recursos presupuestados a: promover la investigación y desarrollo, la innovación en y para las empresas, la difusión y transferencia tecnológica, la aceleración del emprendimiento innovador, la formación, inserción y atracción de recursos humanos</w:t>
      </w:r>
      <w:r>
        <w:rPr>
          <w:rFonts w:ascii="TTE1D653F0t00" w:hAnsi="TTE1D653F0t00" w:cs="TTE1D653F0t00"/>
          <w:color w:val="000000"/>
          <w:sz w:val="23"/>
          <w:szCs w:val="23"/>
        </w:rPr>
        <w:t xml:space="preserve"> especializados, el fortalecimiento de redes para la innovación, equipamiento de apoyo a la competitividad, el fomento de la cultura del emprendimiento y de la innovación.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El Programa Fondo de Innovación para la Competitividad Regional (FIC Regional) es e</w:t>
      </w:r>
      <w:r>
        <w:rPr>
          <w:rFonts w:ascii="TTE1D653F0t00" w:hAnsi="TTE1D653F0t00" w:cs="TTE1D653F0t00"/>
          <w:color w:val="000000"/>
          <w:sz w:val="23"/>
          <w:szCs w:val="23"/>
        </w:rPr>
        <w:t>l instrumento del Gobierno Regional (GORE), que cuenta con respaldo presupuestario para la aplicación de políticas nacionales y regionales de innovación, orientado a fortalecer el sistema de innovación nacional y regional, dando transparencia, flexibilidad</w:t>
      </w:r>
      <w:r>
        <w:rPr>
          <w:rFonts w:ascii="TTE1D653F0t00" w:hAnsi="TTE1D653F0t00" w:cs="TTE1D653F0t00"/>
          <w:color w:val="000000"/>
          <w:sz w:val="23"/>
          <w:szCs w:val="23"/>
        </w:rPr>
        <w:t xml:space="preserve">, sentido competitivo y estratégico a la acción pública del Estado.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 xml:space="preserve">La Política Regional de Ciencia, Tecnología e Innovación (CTI) de Magallanes y Antártica Chilena, 2010 – 2020, aprobada en el Consejo Regional de Magallanes y Antártica Chilena en la 28° </w:t>
      </w:r>
      <w:r>
        <w:rPr>
          <w:rFonts w:ascii="TTE1D653F0t00" w:hAnsi="TTE1D653F0t00" w:cs="TTE1D653F0t00"/>
          <w:color w:val="000000"/>
          <w:sz w:val="23"/>
          <w:szCs w:val="23"/>
        </w:rPr>
        <w:t xml:space="preserve">Sesión Ordinaria celebrada con fecha 12 de Octubre de 2010 </w:t>
      </w:r>
      <w:r>
        <w:rPr>
          <w:rFonts w:cs="TTE23EEF90t00"/>
          <w:color w:val="000000"/>
          <w:sz w:val="23"/>
          <w:szCs w:val="23"/>
        </w:rPr>
        <w:t xml:space="preserve">(ver Anexo N° 3), </w:t>
      </w:r>
      <w:r>
        <w:rPr>
          <w:rFonts w:ascii="TTE1D653F0t00" w:hAnsi="TTE1D653F0t00" w:cs="TTE1D653F0t00"/>
          <w:color w:val="000000"/>
          <w:sz w:val="23"/>
          <w:szCs w:val="23"/>
        </w:rPr>
        <w:t>visión, misión, objetivos) prospecta el desarrollo de un espacio en el que se promoverá la creación y consolidación de empresas innovadoras respetuosas con su entorno natural y pa</w:t>
      </w:r>
      <w:r>
        <w:rPr>
          <w:rFonts w:ascii="TTE1D653F0t00" w:hAnsi="TTE1D653F0t00" w:cs="TTE1D653F0t00"/>
          <w:color w:val="000000"/>
          <w:sz w:val="23"/>
          <w:szCs w:val="23"/>
        </w:rPr>
        <w:t xml:space="preserve">isajístico, y que apostará por proporcionar a su capital humano calidad de vida y oportunidades para el desarrollo de su carrera educativa y profesional. </w:t>
      </w:r>
    </w:p>
    <w:p w:rsidR="00000000" w:rsidRDefault="001245BD">
      <w:pPr>
        <w:pStyle w:val="CM40"/>
        <w:spacing w:after="565"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Al respecto, el Gobierno Regional centra el esfuerzo de inversión pública, especialmente en el llamad</w:t>
      </w:r>
      <w:r>
        <w:rPr>
          <w:rFonts w:ascii="TTE1D653F0t00" w:hAnsi="TTE1D653F0t00" w:cs="TTE1D653F0t00"/>
          <w:color w:val="000000"/>
          <w:sz w:val="23"/>
          <w:szCs w:val="23"/>
        </w:rPr>
        <w:t xml:space="preserve">o a Concurso a Universidades y Centros acreditados en el año 2012, hacia aquellas prioridades que se establecen en las presentes Bases de Concurso respecto referidas a su Política Regional de Ciencia, Tecnología e Innovación. </w:t>
      </w:r>
    </w:p>
    <w:p w:rsidR="00000000" w:rsidRDefault="001245BD">
      <w:pPr>
        <w:pStyle w:val="CM37"/>
        <w:spacing w:after="277" w:line="288" w:lineRule="atLeast"/>
        <w:jc w:val="both"/>
        <w:rPr>
          <w:rFonts w:cs="TTE23EEF90t00"/>
          <w:color w:val="000000"/>
          <w:sz w:val="23"/>
          <w:szCs w:val="23"/>
        </w:rPr>
      </w:pPr>
      <w:r>
        <w:rPr>
          <w:rFonts w:cs="TTE23EEF90t00"/>
          <w:color w:val="000000"/>
          <w:sz w:val="23"/>
          <w:szCs w:val="23"/>
        </w:rPr>
        <w:t>2. DE LOS PARTICIPANTES EN EL</w:t>
      </w:r>
      <w:r>
        <w:rPr>
          <w:rFonts w:cs="TTE23EEF90t00"/>
          <w:color w:val="000000"/>
          <w:sz w:val="23"/>
          <w:szCs w:val="23"/>
        </w:rPr>
        <w:t xml:space="preserve"> CONCURSO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 xml:space="preserve">Podrán presentar proyectos: </w:t>
      </w:r>
    </w:p>
    <w:p w:rsidR="00000000" w:rsidRDefault="001245BD">
      <w:pPr>
        <w:pStyle w:val="CM4"/>
        <w:jc w:val="both"/>
        <w:rPr>
          <w:rFonts w:ascii="TTE1D653F0t00" w:hAnsi="TTE1D653F0t00" w:cs="TTE1D653F0t00"/>
          <w:color w:val="000000"/>
          <w:sz w:val="23"/>
          <w:szCs w:val="23"/>
        </w:rPr>
      </w:pPr>
      <w:r>
        <w:rPr>
          <w:rFonts w:ascii="TTE1724700t00" w:hAnsi="TTE1724700t00" w:cs="TTE1724700t00"/>
          <w:color w:val="000000"/>
          <w:sz w:val="23"/>
          <w:szCs w:val="23"/>
        </w:rPr>
        <w:softHyphen/>
      </w:r>
      <w:r>
        <w:rPr>
          <w:rFonts w:ascii="TTE1D653F0t00" w:hAnsi="TTE1D653F0t00" w:cs="TTE1D653F0t00"/>
          <w:color w:val="000000"/>
          <w:sz w:val="23"/>
          <w:szCs w:val="23"/>
        </w:rPr>
        <w:t xml:space="preserve">Universidades estatales o reconocidas por el Estado, con equipos profesionales que tengan </w:t>
      </w:r>
    </w:p>
    <w:p w:rsidR="00000000" w:rsidRDefault="001245BD">
      <w:pPr>
        <w:pStyle w:val="CM6"/>
        <w:ind w:left="347"/>
        <w:jc w:val="both"/>
        <w:rPr>
          <w:rFonts w:ascii="TTE1D653F0t00" w:hAnsi="TTE1D653F0t00" w:cs="TTE1D653F0t00"/>
          <w:color w:val="000000"/>
          <w:sz w:val="23"/>
          <w:szCs w:val="23"/>
        </w:rPr>
      </w:pPr>
      <w:r>
        <w:rPr>
          <w:rFonts w:ascii="TTE1D653F0t00" w:hAnsi="TTE1D653F0t00" w:cs="TTE1D653F0t00"/>
          <w:color w:val="000000"/>
          <w:sz w:val="23"/>
          <w:szCs w:val="23"/>
        </w:rPr>
        <w:t xml:space="preserve">competencias y/o experiencia demostrable en las materias definidas por la provisión </w:t>
      </w:r>
    </w:p>
    <w:p w:rsidR="00000000" w:rsidRDefault="001245BD">
      <w:pPr>
        <w:pStyle w:val="CM37"/>
        <w:spacing w:after="277" w:line="286" w:lineRule="atLeast"/>
        <w:ind w:left="347"/>
        <w:jc w:val="both"/>
        <w:rPr>
          <w:rFonts w:ascii="TTE1D653F0t00" w:hAnsi="TTE1D653F0t00" w:cs="TTE1D653F0t00"/>
          <w:color w:val="000000"/>
          <w:sz w:val="23"/>
          <w:szCs w:val="23"/>
        </w:rPr>
      </w:pPr>
      <w:r>
        <w:rPr>
          <w:rFonts w:ascii="TTE1D653F0t00" w:hAnsi="TTE1D653F0t00" w:cs="TTE1D653F0t00"/>
          <w:color w:val="000000"/>
          <w:sz w:val="23"/>
          <w:szCs w:val="23"/>
        </w:rPr>
        <w:t xml:space="preserve">Programa Provisión FIC Regional. </w:t>
      </w:r>
    </w:p>
    <w:p w:rsidR="00000000" w:rsidRDefault="001245BD">
      <w:pPr>
        <w:pStyle w:val="CM6"/>
        <w:ind w:left="347"/>
        <w:jc w:val="both"/>
        <w:rPr>
          <w:rFonts w:ascii="TTE1D653F0t00" w:hAnsi="TTE1D653F0t00" w:cs="TTE1D653F0t00"/>
          <w:color w:val="000000"/>
          <w:sz w:val="23"/>
          <w:szCs w:val="23"/>
        </w:rPr>
      </w:pPr>
      <w:r>
        <w:rPr>
          <w:rFonts w:ascii="TTE1D653F0t00" w:hAnsi="TTE1D653F0t00" w:cs="TTE1D653F0t00"/>
          <w:color w:val="000000"/>
          <w:sz w:val="23"/>
          <w:szCs w:val="23"/>
        </w:rPr>
        <w:t>Centr</w:t>
      </w:r>
      <w:r>
        <w:rPr>
          <w:rFonts w:ascii="TTE1D653F0t00" w:hAnsi="TTE1D653F0t00" w:cs="TTE1D653F0t00"/>
          <w:color w:val="000000"/>
          <w:sz w:val="23"/>
          <w:szCs w:val="23"/>
        </w:rPr>
        <w:t xml:space="preserve">os acreditados por la Corporación de Fomento de la Producción, CORFO, según registro público actualizado, pudiendo ser instituciones o centros elegibles para la realización de actividades de investigación y/o desarrollo establecida en la Ley N° 20.241. En </w:t>
      </w:r>
      <w:r>
        <w:rPr>
          <w:rFonts w:ascii="TTE1D653F0t00" w:hAnsi="TTE1D653F0t00" w:cs="TTE1D653F0t00"/>
          <w:color w:val="000000"/>
          <w:sz w:val="23"/>
          <w:szCs w:val="23"/>
        </w:rPr>
        <w:t xml:space="preserve">los casos en que el Centros de Investigación tenga sucursales regionales, se deberá incluir en la certificación de CORFO, la unidad regional que está postulando al concurso. </w:t>
      </w:r>
    </w:p>
    <w:p w:rsidR="00000000" w:rsidRDefault="007433DA">
      <w:pPr>
        <w:pStyle w:val="Default"/>
        <w:pageBreakBefore/>
        <w:framePr w:w="1488" w:wrap="auto" w:vAnchor="page" w:hAnchor="page" w:x="1683" w:y="1404"/>
        <w:spacing w:after="580"/>
        <w:rPr>
          <w:rFonts w:ascii="TTE1D653F0t00" w:hAnsi="TTE1D653F0t00" w:cs="TTE1D653F0t00"/>
          <w:sz w:val="23"/>
          <w:szCs w:val="23"/>
        </w:rPr>
      </w:pPr>
      <w:r>
        <w:rPr>
          <w:rFonts w:ascii="TTE1D653F0t00" w:hAnsi="TTE1D653F0t00" w:cs="TTE1D653F0t00"/>
          <w:noProof/>
          <w:sz w:val="23"/>
          <w:szCs w:val="23"/>
        </w:rPr>
        <w:lastRenderedPageBreak/>
        <w:drawing>
          <wp:inline distT="0" distB="0" distL="0" distR="0">
            <wp:extent cx="447675" cy="5619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line="286" w:lineRule="atLeast"/>
        <w:ind w:left="350" w:hanging="350"/>
        <w:jc w:val="both"/>
        <w:rPr>
          <w:rFonts w:cs="TTE23EEF90t00"/>
          <w:color w:val="000000"/>
          <w:sz w:val="23"/>
          <w:szCs w:val="23"/>
        </w:rPr>
      </w:pPr>
      <w:r>
        <w:rPr>
          <w:rFonts w:ascii="TTE1724700t00" w:hAnsi="TTE1724700t00" w:cs="TTE1724700t00"/>
          <w:color w:val="000000"/>
          <w:sz w:val="23"/>
          <w:szCs w:val="23"/>
        </w:rPr>
        <w:softHyphen/>
      </w:r>
      <w:r>
        <w:rPr>
          <w:rFonts w:ascii="TTE1D653F0t00" w:hAnsi="TTE1D653F0t00" w:cs="TTE1D653F0t00"/>
          <w:color w:val="000000"/>
          <w:sz w:val="23"/>
          <w:szCs w:val="23"/>
        </w:rPr>
        <w:t>Centros acreditados por el Ministerio de Economía, Fomento y Turismo, que cumplan con los requisitos establecidos en el Decreto N° 68 de 23 de Febrero de 2009. En la postulación el Centro deberá presentación de los antecedentes que acredite su elegibilidad</w:t>
      </w:r>
      <w:r>
        <w:rPr>
          <w:rFonts w:ascii="TTE1D653F0t00" w:hAnsi="TTE1D653F0t00" w:cs="TTE1D653F0t00"/>
          <w:color w:val="000000"/>
          <w:sz w:val="23"/>
          <w:szCs w:val="23"/>
        </w:rPr>
        <w:t>, conforme a lo resuelto por la división de innovación del Ministerio de Economía, Fomento y Turismo (</w:t>
      </w:r>
      <w:r>
        <w:rPr>
          <w:rFonts w:cs="TTE23EEF90t00"/>
          <w:color w:val="000000"/>
          <w:sz w:val="23"/>
          <w:szCs w:val="23"/>
        </w:rPr>
        <w:t xml:space="preserve">ver Anexo N°4). </w:t>
      </w:r>
    </w:p>
    <w:p w:rsidR="00000000" w:rsidRDefault="001245BD">
      <w:pPr>
        <w:pStyle w:val="CM37"/>
        <w:spacing w:after="277" w:line="286" w:lineRule="atLeast"/>
        <w:ind w:left="347"/>
        <w:jc w:val="both"/>
        <w:rPr>
          <w:rFonts w:ascii="TTE1D653F0t00" w:hAnsi="TTE1D653F0t00" w:cs="TTE1D653F0t00"/>
          <w:color w:val="000000"/>
          <w:sz w:val="23"/>
          <w:szCs w:val="23"/>
        </w:rPr>
      </w:pPr>
      <w:r>
        <w:rPr>
          <w:rFonts w:ascii="TTE1D653F0t00" w:hAnsi="TTE1D653F0t00" w:cs="TTE1D653F0t00"/>
          <w:color w:val="000000"/>
          <w:sz w:val="23"/>
          <w:szCs w:val="23"/>
        </w:rPr>
        <w:t xml:space="preserve">Cualquiera de estas entidades podrá postular todos los de proyectos que estime convenientes, dentro de las prioridades señaladas, sin un </w:t>
      </w:r>
      <w:r>
        <w:rPr>
          <w:rFonts w:ascii="TTE1D653F0t00" w:hAnsi="TTE1D653F0t00" w:cs="TTE1D653F0t00"/>
          <w:color w:val="000000"/>
          <w:sz w:val="23"/>
          <w:szCs w:val="23"/>
        </w:rPr>
        <w:t xml:space="preserve">tope máximo de número de iniciativas a presentar, para lo cual deberá considerar y presentar lo siguiente: </w:t>
      </w:r>
    </w:p>
    <w:p w:rsidR="00000000" w:rsidRDefault="001245BD">
      <w:pPr>
        <w:pStyle w:val="CM37"/>
        <w:spacing w:after="277" w:line="286" w:lineRule="atLeast"/>
        <w:ind w:left="690" w:hanging="350"/>
        <w:jc w:val="both"/>
        <w:rPr>
          <w:rFonts w:ascii="TTE1D653F0t00" w:hAnsi="TTE1D653F0t00" w:cs="TTE1D653F0t00"/>
          <w:color w:val="000000"/>
          <w:sz w:val="23"/>
          <w:szCs w:val="23"/>
        </w:rPr>
      </w:pPr>
      <w:r>
        <w:rPr>
          <w:rFonts w:ascii="TTE1724700t00" w:hAnsi="TTE1724700t00" w:cs="TTE1724700t00"/>
          <w:color w:val="000000"/>
          <w:sz w:val="23"/>
          <w:szCs w:val="23"/>
        </w:rPr>
        <w:softHyphen/>
      </w:r>
      <w:r>
        <w:rPr>
          <w:rFonts w:ascii="TTE1D653F0t00" w:hAnsi="TTE1D653F0t00" w:cs="TTE1D653F0t00"/>
          <w:color w:val="000000"/>
          <w:sz w:val="23"/>
          <w:szCs w:val="23"/>
        </w:rPr>
        <w:t>Se establece un tope máximo de tres proyectos patrocinados por un mismo científico o investigador y por alguna entidad del sector empresarial y/o p</w:t>
      </w:r>
      <w:r>
        <w:rPr>
          <w:rFonts w:ascii="TTE1D653F0t00" w:hAnsi="TTE1D653F0t00" w:cs="TTE1D653F0t00"/>
          <w:color w:val="000000"/>
          <w:sz w:val="23"/>
          <w:szCs w:val="23"/>
        </w:rPr>
        <w:t xml:space="preserve">roductivo comprometida a implementar y participar en los resultados o en la solución que se entregue. </w:t>
      </w:r>
    </w:p>
    <w:p w:rsidR="00000000" w:rsidRDefault="001245BD">
      <w:pPr>
        <w:pStyle w:val="CM40"/>
        <w:spacing w:after="565" w:line="286" w:lineRule="atLeast"/>
        <w:ind w:left="690" w:hanging="350"/>
        <w:jc w:val="both"/>
        <w:rPr>
          <w:rFonts w:ascii="TTE1D653F0t00" w:hAnsi="TTE1D653F0t00" w:cs="TTE1D653F0t00"/>
          <w:color w:val="000000"/>
          <w:sz w:val="23"/>
          <w:szCs w:val="23"/>
        </w:rPr>
      </w:pPr>
      <w:r>
        <w:rPr>
          <w:rFonts w:ascii="TTE1724700t00" w:hAnsi="TTE1724700t00" w:cs="TTE1724700t00"/>
          <w:color w:val="000000"/>
          <w:sz w:val="23"/>
          <w:szCs w:val="23"/>
        </w:rPr>
        <w:softHyphen/>
      </w:r>
      <w:r>
        <w:rPr>
          <w:rFonts w:ascii="TTE1D653F0t00" w:hAnsi="TTE1D653F0t00" w:cs="TTE1D653F0t00"/>
          <w:color w:val="000000"/>
          <w:sz w:val="23"/>
          <w:szCs w:val="23"/>
        </w:rPr>
        <w:t>Se debe presentar un listado priorizado de las iniciativas de investigación, cuando la universidad o centro de investigación presenten más de tres proye</w:t>
      </w:r>
      <w:r>
        <w:rPr>
          <w:rFonts w:ascii="TTE1D653F0t00" w:hAnsi="TTE1D653F0t00" w:cs="TTE1D653F0t00"/>
          <w:color w:val="000000"/>
          <w:sz w:val="23"/>
          <w:szCs w:val="23"/>
        </w:rPr>
        <w:t xml:space="preserve">ctos, preferentemente de carácter asociativo. </w:t>
      </w:r>
    </w:p>
    <w:p w:rsidR="00000000" w:rsidRDefault="001245BD">
      <w:pPr>
        <w:pStyle w:val="CM37"/>
        <w:spacing w:after="277" w:line="286" w:lineRule="atLeast"/>
        <w:ind w:hanging="690"/>
        <w:jc w:val="both"/>
        <w:rPr>
          <w:rFonts w:cs="TTE23EEF90t00"/>
          <w:color w:val="000000"/>
          <w:sz w:val="23"/>
          <w:szCs w:val="23"/>
        </w:rPr>
      </w:pPr>
      <w:r>
        <w:rPr>
          <w:rFonts w:cs="TTE23EEF90t00"/>
          <w:color w:val="000000"/>
          <w:sz w:val="23"/>
          <w:szCs w:val="23"/>
        </w:rPr>
        <w:t xml:space="preserve">3. </w:t>
      </w:r>
      <w:r>
        <w:rPr>
          <w:rFonts w:cs="TTE23EEF90t00"/>
          <w:color w:val="000000"/>
          <w:sz w:val="23"/>
          <w:szCs w:val="23"/>
        </w:rPr>
        <w:tab/>
        <w:t xml:space="preserve">PRIORIZACION REGIONAL DE RECURSOS </w:t>
      </w:r>
    </w:p>
    <w:p w:rsidR="00000000" w:rsidRDefault="001245BD">
      <w:pPr>
        <w:pStyle w:val="CM37"/>
        <w:spacing w:after="277" w:line="286" w:lineRule="atLeast"/>
        <w:ind w:left="690" w:hanging="690"/>
        <w:jc w:val="both"/>
        <w:rPr>
          <w:rFonts w:cs="TTE23EEF90t00"/>
          <w:color w:val="000000"/>
          <w:sz w:val="23"/>
          <w:szCs w:val="23"/>
        </w:rPr>
      </w:pPr>
      <w:r>
        <w:rPr>
          <w:rFonts w:cs="TTE23EEF90t00"/>
          <w:color w:val="000000"/>
          <w:sz w:val="23"/>
          <w:szCs w:val="23"/>
        </w:rPr>
        <w:t xml:space="preserve">3.1. </w:t>
      </w:r>
      <w:r>
        <w:rPr>
          <w:rFonts w:cs="TTE23EEF90t00"/>
          <w:color w:val="000000"/>
          <w:sz w:val="23"/>
          <w:szCs w:val="23"/>
        </w:rPr>
        <w:tab/>
        <w:t xml:space="preserve">Prioridades de la Política Regional de Ciencia Tecnología e Innovación 2010 – 2020, coherente con la estrategia y prioridades de políticas nacionales en la materia </w:t>
      </w:r>
      <w:r>
        <w:rPr>
          <w:rFonts w:cs="TTE23EEF90t00"/>
          <w:color w:val="000000"/>
          <w:sz w:val="23"/>
          <w:szCs w:val="23"/>
        </w:rPr>
        <w:t xml:space="preserve">para el año 2012 </w:t>
      </w:r>
    </w:p>
    <w:p w:rsidR="00000000" w:rsidRDefault="001245BD">
      <w:pPr>
        <w:pStyle w:val="CM37"/>
        <w:spacing w:after="277" w:line="286" w:lineRule="atLeast"/>
        <w:ind w:left="350" w:hanging="350"/>
        <w:jc w:val="both"/>
        <w:rPr>
          <w:rFonts w:ascii="TTE1D653F0t00" w:hAnsi="TTE1D653F0t00" w:cs="TTE1D653F0t00"/>
          <w:color w:val="000000"/>
          <w:sz w:val="23"/>
          <w:szCs w:val="23"/>
        </w:rPr>
      </w:pPr>
      <w:r>
        <w:rPr>
          <w:rFonts w:ascii="TTE1D653F0t00" w:hAnsi="TTE1D653F0t00" w:cs="TTE1D653F0t00"/>
          <w:color w:val="000000"/>
          <w:sz w:val="23"/>
          <w:szCs w:val="23"/>
        </w:rPr>
        <w:t xml:space="preserve">A. </w:t>
      </w:r>
      <w:r>
        <w:rPr>
          <w:rFonts w:ascii="TTE1D653F0t00" w:hAnsi="TTE1D653F0t00" w:cs="TTE1D653F0t00"/>
          <w:color w:val="000000"/>
          <w:sz w:val="23"/>
          <w:szCs w:val="23"/>
        </w:rPr>
        <w:tab/>
        <w:t>Promover la innovación en y para las empresas y la aceleración del emprendimiento innovador: el motor de la innovación regional y del país son las empresas y emprendedores, por entenderse que son los responsables de la generación de r</w:t>
      </w:r>
      <w:r>
        <w:rPr>
          <w:rFonts w:ascii="TTE1D653F0t00" w:hAnsi="TTE1D653F0t00" w:cs="TTE1D653F0t00"/>
          <w:color w:val="000000"/>
          <w:sz w:val="23"/>
          <w:szCs w:val="23"/>
        </w:rPr>
        <w:t>iqueza, de empleo de calidad y de ingresos y el sector público, podrá facilitar la creación de incentivos que apoyen la dinamización de la innovación entre universidades-centros y empresas, incorporando a los circuitos de innovación a la comunidad empresar</w:t>
      </w:r>
      <w:r>
        <w:rPr>
          <w:rFonts w:ascii="TTE1D653F0t00" w:hAnsi="TTE1D653F0t00" w:cs="TTE1D653F0t00"/>
          <w:color w:val="000000"/>
          <w:sz w:val="23"/>
          <w:szCs w:val="23"/>
        </w:rPr>
        <w:t xml:space="preserve">ial, a emprendedores y a la ciudadanía territorial. </w:t>
      </w:r>
    </w:p>
    <w:p w:rsidR="00000000" w:rsidRDefault="001245BD">
      <w:pPr>
        <w:pStyle w:val="CM37"/>
        <w:spacing w:after="277" w:line="286" w:lineRule="atLeast"/>
        <w:ind w:left="347"/>
        <w:jc w:val="both"/>
        <w:rPr>
          <w:rFonts w:ascii="TTE1D653F0t00" w:hAnsi="TTE1D653F0t00" w:cs="TTE1D653F0t00"/>
          <w:color w:val="000000"/>
          <w:sz w:val="23"/>
          <w:szCs w:val="23"/>
        </w:rPr>
      </w:pPr>
      <w:r>
        <w:rPr>
          <w:rFonts w:ascii="TTE1D653F0t00" w:hAnsi="TTE1D653F0t00" w:cs="TTE1D653F0t00"/>
          <w:color w:val="000000"/>
          <w:sz w:val="23"/>
          <w:szCs w:val="23"/>
        </w:rPr>
        <w:t>La asignación de las recursos del Programa FIC Regional 2012 priorizará aquellas iniciativas que tengan en cuenta las necesidades reales y futuras del sector empresarial local y del mercado, así como las</w:t>
      </w:r>
      <w:r>
        <w:rPr>
          <w:rFonts w:ascii="TTE1D653F0t00" w:hAnsi="TTE1D653F0t00" w:cs="TTE1D653F0t00"/>
          <w:color w:val="000000"/>
          <w:sz w:val="23"/>
          <w:szCs w:val="23"/>
        </w:rPr>
        <w:t xml:space="preserve"> potencialidades y capacidades del sistema regional de innovación, donde se hace necesario que universidades y centros generen proyectos integrales, asociados con el sistema empresarial y productivo de la región. </w:t>
      </w:r>
    </w:p>
    <w:p w:rsidR="00000000" w:rsidRDefault="001245BD">
      <w:pPr>
        <w:pStyle w:val="CM37"/>
        <w:spacing w:after="277" w:line="286" w:lineRule="atLeast"/>
        <w:ind w:left="350" w:hanging="350"/>
        <w:jc w:val="both"/>
        <w:rPr>
          <w:rFonts w:ascii="TTE1D653F0t00" w:hAnsi="TTE1D653F0t00" w:cs="TTE1D653F0t00"/>
          <w:color w:val="000000"/>
          <w:sz w:val="23"/>
          <w:szCs w:val="23"/>
        </w:rPr>
      </w:pPr>
      <w:r>
        <w:rPr>
          <w:rFonts w:ascii="TTE1D653F0t00" w:hAnsi="TTE1D653F0t00" w:cs="TTE1D653F0t00"/>
          <w:color w:val="000000"/>
          <w:sz w:val="23"/>
          <w:szCs w:val="23"/>
        </w:rPr>
        <w:t xml:space="preserve">B. </w:t>
      </w:r>
      <w:r>
        <w:rPr>
          <w:rFonts w:ascii="TTE1D653F0t00" w:hAnsi="TTE1D653F0t00" w:cs="TTE1D653F0t00"/>
          <w:color w:val="000000"/>
          <w:sz w:val="23"/>
          <w:szCs w:val="23"/>
        </w:rPr>
        <w:tab/>
        <w:t>Fomento de la cultura del emprendimien</w:t>
      </w:r>
      <w:r>
        <w:rPr>
          <w:rFonts w:ascii="TTE1D653F0t00" w:hAnsi="TTE1D653F0t00" w:cs="TTE1D653F0t00"/>
          <w:color w:val="000000"/>
          <w:sz w:val="23"/>
          <w:szCs w:val="23"/>
        </w:rPr>
        <w:t>to y de la innovación y de transferencia tecnológica para mejorar la competitividad regional: es necesario invertir en la creatividad, generación e implementación de nuevos programas e instrumentos de empaquetamiento de soluciones tecnológicas y de innovac</w:t>
      </w:r>
      <w:r>
        <w:rPr>
          <w:rFonts w:ascii="TTE1D653F0t00" w:hAnsi="TTE1D653F0t00" w:cs="TTE1D653F0t00"/>
          <w:color w:val="000000"/>
          <w:sz w:val="23"/>
          <w:szCs w:val="23"/>
        </w:rPr>
        <w:t xml:space="preserve">ión regional, que sean beneficiosas para y utilizadas por las empresas y emprendedores, con apoyo de universidades, centros de investigación e institutos tecnológicos y la ciudadanía territorial. </w:t>
      </w:r>
    </w:p>
    <w:p w:rsidR="00000000" w:rsidRDefault="007433DA">
      <w:pPr>
        <w:pStyle w:val="Default"/>
        <w:pageBreakBefore/>
        <w:framePr w:w="1488" w:wrap="auto" w:vAnchor="page" w:hAnchor="page" w:x="1683" w:y="1404"/>
        <w:spacing w:after="240"/>
        <w:rPr>
          <w:rFonts w:ascii="TTE1D653F0t00" w:hAnsi="TTE1D653F0t00" w:cs="TTE1D653F0t00"/>
          <w:sz w:val="23"/>
          <w:szCs w:val="23"/>
        </w:rPr>
      </w:pPr>
      <w:r>
        <w:rPr>
          <w:rFonts w:ascii="TTE1D653F0t00" w:hAnsi="TTE1D653F0t00" w:cs="TTE1D653F0t00"/>
          <w:noProof/>
          <w:sz w:val="23"/>
          <w:szCs w:val="23"/>
        </w:rPr>
        <w:lastRenderedPageBreak/>
        <w:drawing>
          <wp:inline distT="0" distB="0" distL="0" distR="0">
            <wp:extent cx="447675" cy="5619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ascii="TTE1D653F0t00" w:hAnsi="TTE1D653F0t00" w:cs="TTE1D653F0t00"/>
          <w:color w:val="000000"/>
          <w:sz w:val="23"/>
          <w:szCs w:val="23"/>
        </w:rPr>
        <w:t xml:space="preserve">Prioridades transversales y sectoriales propias de la Política Regional de Ciencia, Tecnología e Innovación de Magallanes y la Antártica Chilena (para más información, ver anexo 3). </w:t>
      </w:r>
    </w:p>
    <w:p w:rsidR="00000000" w:rsidRDefault="001245BD">
      <w:pPr>
        <w:pStyle w:val="CM36"/>
        <w:spacing w:after="177" w:line="283" w:lineRule="atLeast"/>
        <w:ind w:left="415" w:hanging="415"/>
        <w:jc w:val="both"/>
        <w:rPr>
          <w:rFonts w:ascii="TTE1D653F0t00" w:hAnsi="TTE1D653F0t00" w:cs="TTE1D653F0t00"/>
          <w:color w:val="000000"/>
          <w:sz w:val="23"/>
          <w:szCs w:val="23"/>
        </w:rPr>
      </w:pPr>
      <w:r>
        <w:rPr>
          <w:rFonts w:cs="TTE23EEF90t00"/>
          <w:color w:val="000000"/>
          <w:sz w:val="23"/>
          <w:szCs w:val="23"/>
        </w:rPr>
        <w:t xml:space="preserve">3.2 Prioridades </w:t>
      </w:r>
      <w:r>
        <w:rPr>
          <w:rFonts w:cs="TTE23EEF90t00"/>
          <w:color w:val="000000"/>
          <w:sz w:val="23"/>
          <w:szCs w:val="23"/>
        </w:rPr>
        <w:tab/>
        <w:t xml:space="preserve">transversales y sectoriales propias de la </w:t>
      </w:r>
      <w:r>
        <w:rPr>
          <w:rFonts w:cs="TTE23EEF90t00"/>
          <w:color w:val="000000"/>
          <w:sz w:val="23"/>
          <w:szCs w:val="23"/>
        </w:rPr>
        <w:t>Política de Ciencia, Tecnología e Innovación de Magallanes y Antártica Chilena (</w:t>
      </w:r>
      <w:r>
        <w:rPr>
          <w:rFonts w:ascii="TTE1D653F0t00" w:hAnsi="TTE1D653F0t00" w:cs="TTE1D653F0t00"/>
          <w:color w:val="000000"/>
          <w:sz w:val="23"/>
          <w:szCs w:val="23"/>
        </w:rPr>
        <w:t xml:space="preserve">para más información, ver Anexo 3) </w:t>
      </w:r>
    </w:p>
    <w:p w:rsidR="00000000" w:rsidRDefault="001245BD">
      <w:pPr>
        <w:pStyle w:val="CM37"/>
        <w:spacing w:after="277" w:line="286" w:lineRule="atLeast"/>
        <w:ind w:left="350" w:hanging="350"/>
        <w:jc w:val="both"/>
        <w:rPr>
          <w:rFonts w:ascii="TTE1D653F0t00" w:hAnsi="TTE1D653F0t00" w:cs="TTE1D653F0t00"/>
          <w:color w:val="000000"/>
          <w:sz w:val="23"/>
          <w:szCs w:val="23"/>
        </w:rPr>
      </w:pPr>
      <w:r>
        <w:rPr>
          <w:rFonts w:ascii="TTE1D653F0t00" w:hAnsi="TTE1D653F0t00" w:cs="TTE1D653F0t00"/>
          <w:color w:val="000000"/>
          <w:sz w:val="23"/>
          <w:szCs w:val="23"/>
        </w:rPr>
        <w:t xml:space="preserve">C. </w:t>
      </w:r>
      <w:r>
        <w:rPr>
          <w:rFonts w:ascii="TTE1D653F0t00" w:hAnsi="TTE1D653F0t00" w:cs="TTE1D653F0t00"/>
          <w:color w:val="000000"/>
          <w:sz w:val="23"/>
          <w:szCs w:val="23"/>
        </w:rPr>
        <w:tab/>
        <w:t>Promover la aplicación del conocimiento y la tecnologí</w:t>
      </w:r>
      <w:r>
        <w:rPr>
          <w:rFonts w:ascii="TTE1D653F0t00" w:hAnsi="TTE1D653F0t00" w:cs="TTE1D653F0t00"/>
          <w:color w:val="000000"/>
          <w:sz w:val="23"/>
          <w:szCs w:val="23"/>
        </w:rPr>
        <w:t xml:space="preserve">a en las actividades productivas para aumentar la competitividad de la estructura productiva regional. </w:t>
      </w:r>
    </w:p>
    <w:p w:rsidR="00000000" w:rsidRDefault="001245BD">
      <w:pPr>
        <w:pStyle w:val="CM41"/>
        <w:spacing w:after="330" w:line="286" w:lineRule="atLeast"/>
        <w:ind w:left="350" w:hanging="350"/>
        <w:jc w:val="both"/>
        <w:rPr>
          <w:rFonts w:ascii="TTE1D653F0t00" w:hAnsi="TTE1D653F0t00" w:cs="TTE1D653F0t00"/>
          <w:color w:val="000000"/>
          <w:sz w:val="23"/>
          <w:szCs w:val="23"/>
        </w:rPr>
      </w:pPr>
      <w:r>
        <w:rPr>
          <w:rFonts w:ascii="TTE1D653F0t00" w:hAnsi="TTE1D653F0t00" w:cs="TTE1D653F0t00"/>
          <w:color w:val="000000"/>
          <w:sz w:val="23"/>
          <w:szCs w:val="23"/>
        </w:rPr>
        <w:t xml:space="preserve">D. </w:t>
      </w:r>
      <w:r>
        <w:rPr>
          <w:rFonts w:ascii="TTE1D653F0t00" w:hAnsi="TTE1D653F0t00" w:cs="TTE1D653F0t00"/>
          <w:color w:val="000000"/>
          <w:sz w:val="23"/>
          <w:szCs w:val="23"/>
        </w:rPr>
        <w:tab/>
        <w:t>Articular un sistema de transferencia de conocimiento y tecnología, que impulse la competitividad del tejido productivo y empresarial en actividades</w:t>
      </w:r>
      <w:r>
        <w:rPr>
          <w:rFonts w:ascii="TTE1D653F0t00" w:hAnsi="TTE1D653F0t00" w:cs="TTE1D653F0t00"/>
          <w:color w:val="000000"/>
          <w:sz w:val="23"/>
          <w:szCs w:val="23"/>
        </w:rPr>
        <w:t xml:space="preserve"> emergentes. </w:t>
      </w:r>
    </w:p>
    <w:p w:rsidR="00000000" w:rsidRDefault="001245BD">
      <w:pPr>
        <w:pStyle w:val="CM41"/>
        <w:spacing w:after="330" w:line="286" w:lineRule="atLeast"/>
        <w:ind w:left="350" w:hanging="350"/>
        <w:jc w:val="both"/>
        <w:rPr>
          <w:rFonts w:ascii="TTE1D653F0t00" w:hAnsi="TTE1D653F0t00" w:cs="TTE1D653F0t00"/>
          <w:color w:val="000000"/>
          <w:sz w:val="23"/>
          <w:szCs w:val="23"/>
        </w:rPr>
      </w:pPr>
      <w:r>
        <w:rPr>
          <w:rFonts w:ascii="TTE1D653F0t00" w:hAnsi="TTE1D653F0t00" w:cs="TTE1D653F0t00"/>
          <w:color w:val="000000"/>
          <w:sz w:val="23"/>
          <w:szCs w:val="23"/>
        </w:rPr>
        <w:t xml:space="preserve">E. </w:t>
      </w:r>
      <w:r>
        <w:rPr>
          <w:rFonts w:ascii="TTE1D653F0t00" w:hAnsi="TTE1D653F0t00" w:cs="TTE1D653F0t00"/>
          <w:color w:val="000000"/>
          <w:sz w:val="23"/>
          <w:szCs w:val="23"/>
        </w:rPr>
        <w:tab/>
        <w:t xml:space="preserve">Favorecer el acercamiento entre el sector académico investigador, el sector privado y el sector público. </w:t>
      </w:r>
    </w:p>
    <w:p w:rsidR="00000000" w:rsidRDefault="001245BD">
      <w:pPr>
        <w:pStyle w:val="CM41"/>
        <w:spacing w:after="330" w:line="286" w:lineRule="atLeast"/>
        <w:ind w:left="350" w:hanging="350"/>
        <w:jc w:val="both"/>
        <w:rPr>
          <w:rFonts w:ascii="TTE1D653F0t00" w:hAnsi="TTE1D653F0t00" w:cs="TTE1D653F0t00"/>
          <w:color w:val="000000"/>
          <w:sz w:val="23"/>
          <w:szCs w:val="23"/>
        </w:rPr>
      </w:pPr>
      <w:r>
        <w:rPr>
          <w:rFonts w:ascii="TTE1D653F0t00" w:hAnsi="TTE1D653F0t00" w:cs="TTE1D653F0t00"/>
          <w:color w:val="000000"/>
          <w:sz w:val="23"/>
          <w:szCs w:val="23"/>
        </w:rPr>
        <w:t xml:space="preserve">F. </w:t>
      </w:r>
      <w:r>
        <w:rPr>
          <w:rFonts w:ascii="TTE1D653F0t00" w:hAnsi="TTE1D653F0t00" w:cs="TTE1D653F0t00"/>
          <w:color w:val="000000"/>
          <w:sz w:val="23"/>
          <w:szCs w:val="23"/>
        </w:rPr>
        <w:tab/>
        <w:t>Favorecer la atracción y el mantenimiento del capital humano avanzado en la región, vinculadas a sectores priorizados por la pol</w:t>
      </w:r>
      <w:r>
        <w:rPr>
          <w:rFonts w:ascii="TTE1D653F0t00" w:hAnsi="TTE1D653F0t00" w:cs="TTE1D653F0t00"/>
          <w:color w:val="000000"/>
          <w:sz w:val="23"/>
          <w:szCs w:val="23"/>
        </w:rPr>
        <w:t xml:space="preserve">ítica regional de C T i. </w:t>
      </w:r>
    </w:p>
    <w:p w:rsidR="00000000" w:rsidRDefault="001245BD">
      <w:pPr>
        <w:pStyle w:val="CM37"/>
        <w:spacing w:after="277" w:line="286" w:lineRule="atLeast"/>
        <w:ind w:left="350" w:hanging="350"/>
        <w:jc w:val="both"/>
        <w:rPr>
          <w:rFonts w:ascii="TTE1D653F0t00" w:hAnsi="TTE1D653F0t00" w:cs="TTE1D653F0t00"/>
          <w:color w:val="000000"/>
          <w:sz w:val="23"/>
          <w:szCs w:val="23"/>
        </w:rPr>
      </w:pPr>
      <w:r>
        <w:rPr>
          <w:rFonts w:ascii="TTE1D653F0t00" w:hAnsi="TTE1D653F0t00" w:cs="TTE1D653F0t00"/>
          <w:color w:val="000000"/>
          <w:sz w:val="23"/>
          <w:szCs w:val="23"/>
        </w:rPr>
        <w:t xml:space="preserve">G. </w:t>
      </w:r>
      <w:r>
        <w:rPr>
          <w:rFonts w:ascii="TTE1D653F0t00" w:hAnsi="TTE1D653F0t00" w:cs="TTE1D653F0t00"/>
          <w:color w:val="000000"/>
          <w:sz w:val="23"/>
          <w:szCs w:val="23"/>
        </w:rPr>
        <w:tab/>
        <w:t>Fortalecimiento de redes sectoriales y capacidades de innovación para mejorar la competitividad en colaboración con las empresas y asociaciones productivas, facilitando el acompañamiento asociativo público / privado /académico</w:t>
      </w:r>
      <w:r>
        <w:rPr>
          <w:rFonts w:ascii="TTE1D653F0t00" w:hAnsi="TTE1D653F0t00" w:cs="TTE1D653F0t00"/>
          <w:color w:val="000000"/>
          <w:sz w:val="23"/>
          <w:szCs w:val="23"/>
        </w:rPr>
        <w:t xml:space="preserve">-investigador para el lanzamiento y ejecución de actividades en colaboración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 xml:space="preserve">Estas prioridades transversales deberán estar conectadas con las siguientes prioridades sectoriales: </w:t>
      </w:r>
    </w:p>
    <w:p w:rsidR="00000000" w:rsidRDefault="001245BD">
      <w:pPr>
        <w:pStyle w:val="CM36"/>
        <w:spacing w:after="177" w:line="288" w:lineRule="atLeast"/>
        <w:jc w:val="both"/>
        <w:rPr>
          <w:rFonts w:cs="TTE23EEF90t00"/>
          <w:color w:val="000000"/>
          <w:sz w:val="23"/>
          <w:szCs w:val="23"/>
        </w:rPr>
      </w:pPr>
      <w:r>
        <w:rPr>
          <w:rFonts w:cs="TTE23EEF90t00"/>
          <w:color w:val="000000"/>
          <w:sz w:val="23"/>
          <w:szCs w:val="23"/>
        </w:rPr>
        <w:t xml:space="preserve">Prioridades sectoriales </w:t>
      </w:r>
    </w:p>
    <w:p w:rsidR="00000000" w:rsidRDefault="001245BD">
      <w:pPr>
        <w:pStyle w:val="CM2"/>
        <w:jc w:val="center"/>
        <w:rPr>
          <w:rFonts w:ascii="TTE1CD66B0t00" w:hAnsi="TTE1CD66B0t00" w:cs="TTE1CD66B0t00"/>
          <w:color w:val="000000"/>
          <w:sz w:val="23"/>
          <w:szCs w:val="23"/>
        </w:rPr>
      </w:pPr>
      <w:r>
        <w:rPr>
          <w:rFonts w:ascii="TTE1CD66B0t00" w:hAnsi="TTE1CD66B0t00" w:cs="TTE1CD66B0t00"/>
          <w:color w:val="000000"/>
          <w:sz w:val="23"/>
          <w:szCs w:val="23"/>
        </w:rPr>
        <w:t xml:space="preserve">Sectores Prioridad para la INNOVACION </w:t>
      </w:r>
    </w:p>
    <w:p w:rsidR="00000000" w:rsidRDefault="001245BD">
      <w:pPr>
        <w:pStyle w:val="CM34"/>
        <w:spacing w:after="862" w:line="240" w:lineRule="atLeast"/>
        <w:rPr>
          <w:rFonts w:ascii="TTE1CD6728t00" w:hAnsi="TTE1CD6728t00" w:cs="TTE1CD6728t00"/>
          <w:color w:val="000000"/>
          <w:sz w:val="21"/>
          <w:szCs w:val="21"/>
        </w:rPr>
      </w:pPr>
      <w:r>
        <w:rPr>
          <w:rFonts w:ascii="TTE1CD6728t00" w:hAnsi="TTE1CD6728t00" w:cs="TTE1CD6728t00"/>
          <w:color w:val="000000"/>
          <w:sz w:val="21"/>
          <w:szCs w:val="21"/>
        </w:rPr>
        <w:t>Turismo Mine</w:t>
      </w:r>
      <w:r>
        <w:rPr>
          <w:rFonts w:ascii="TTE1CD6728t00" w:hAnsi="TTE1CD6728t00" w:cs="TTE1CD6728t00"/>
          <w:color w:val="000000"/>
          <w:sz w:val="21"/>
          <w:szCs w:val="21"/>
        </w:rPr>
        <w:t xml:space="preserve">ro energético Energía renovable Eficiencia energética </w:t>
      </w:r>
    </w:p>
    <w:p w:rsidR="00000000" w:rsidRDefault="001245BD">
      <w:pPr>
        <w:pStyle w:val="CM11"/>
        <w:rPr>
          <w:rFonts w:ascii="TTE1CD6728t00" w:hAnsi="TTE1CD6728t00" w:cs="TTE1CD6728t00"/>
          <w:color w:val="000000"/>
          <w:sz w:val="21"/>
          <w:szCs w:val="21"/>
        </w:rPr>
      </w:pPr>
      <w:r>
        <w:rPr>
          <w:rFonts w:ascii="TTE1CD6728t00" w:hAnsi="TTE1CD6728t00" w:cs="TTE1CD6728t00"/>
          <w:color w:val="000000"/>
          <w:sz w:val="21"/>
          <w:szCs w:val="21"/>
        </w:rPr>
        <w:t>Marítimo</w:t>
      </w:r>
      <w:r>
        <w:rPr>
          <w:rFonts w:ascii="TTE1CD6728t00" w:hAnsi="TTE1CD6728t00" w:cs="TTE1CD6728t00"/>
          <w:color w:val="000000"/>
          <w:sz w:val="21"/>
          <w:szCs w:val="21"/>
        </w:rPr>
        <w:softHyphen/>
        <w:t>Portuario</w:t>
      </w:r>
      <w:r>
        <w:rPr>
          <w:rFonts w:ascii="TTE1CD6728t00" w:hAnsi="TTE1CD6728t00" w:cs="TTE1CD6728t00"/>
          <w:color w:val="000000"/>
          <w:sz w:val="21"/>
          <w:szCs w:val="21"/>
        </w:rPr>
        <w:softHyphen/>
        <w:t xml:space="preserve">Antártico </w:t>
      </w:r>
    </w:p>
    <w:p w:rsidR="00000000" w:rsidRDefault="001245BD">
      <w:pPr>
        <w:pStyle w:val="CM37"/>
        <w:spacing w:after="277" w:line="240" w:lineRule="atLeast"/>
        <w:rPr>
          <w:rFonts w:ascii="TTE1CD6728t00" w:hAnsi="TTE1CD6728t00" w:cs="TTE1CD6728t00"/>
          <w:color w:val="000000"/>
          <w:sz w:val="19"/>
          <w:szCs w:val="19"/>
        </w:rPr>
      </w:pPr>
      <w:r>
        <w:rPr>
          <w:rFonts w:ascii="TTE1CD6728t00" w:hAnsi="TTE1CD6728t00" w:cs="TTE1CD6728t00"/>
          <w:color w:val="000000"/>
          <w:sz w:val="19"/>
          <w:szCs w:val="19"/>
        </w:rPr>
        <w:t>Mejorar, diversificar y profesionalizar la oferta turística regional. Facilitar el acceso o incorporación de tecnologías que aporten al uso eficiente del gas natural en ac</w:t>
      </w:r>
      <w:r>
        <w:rPr>
          <w:rFonts w:ascii="TTE1CD6728t00" w:hAnsi="TTE1CD6728t00" w:cs="TTE1CD6728t00"/>
          <w:color w:val="000000"/>
          <w:sz w:val="19"/>
          <w:szCs w:val="19"/>
        </w:rPr>
        <w:t xml:space="preserve">tividades económicas regionales o de servicio a la comunidad, y/o que aporten a conocer o diversificar las fuentes de energías alternativas. </w:t>
      </w:r>
    </w:p>
    <w:p w:rsidR="00000000" w:rsidRDefault="001245BD">
      <w:pPr>
        <w:pStyle w:val="CM11"/>
        <w:rPr>
          <w:rFonts w:ascii="TTE1CD6728t00" w:hAnsi="TTE1CD6728t00" w:cs="TTE1CD6728t00"/>
          <w:color w:val="000000"/>
          <w:sz w:val="19"/>
          <w:szCs w:val="19"/>
        </w:rPr>
      </w:pPr>
      <w:r>
        <w:rPr>
          <w:rFonts w:ascii="TTE1CD6728t00" w:hAnsi="TTE1CD6728t00" w:cs="TTE1CD6728t00"/>
          <w:color w:val="000000"/>
          <w:sz w:val="19"/>
          <w:szCs w:val="19"/>
        </w:rPr>
        <w:t>Diversificar la actividad acuícola y difundir el conocimiento existente para mejorar las prácticas en una explotac</w:t>
      </w:r>
      <w:r>
        <w:rPr>
          <w:rFonts w:ascii="TTE1CD6728t00" w:hAnsi="TTE1CD6728t00" w:cs="TTE1CD6728t00"/>
          <w:color w:val="000000"/>
          <w:sz w:val="19"/>
          <w:szCs w:val="19"/>
        </w:rPr>
        <w:t>ión más eficiente y sustentable del recurso pesquero, especialmente en el cultivo de centolla, mitílidos, cultivo de salmones, cultivo de halibut, piscicultura hatchery, entre otros. establecimiento y fomento de modelos de gestión que logren integral una o</w:t>
      </w:r>
      <w:r>
        <w:rPr>
          <w:rFonts w:ascii="TTE1CD6728t00" w:hAnsi="TTE1CD6728t00" w:cs="TTE1CD6728t00"/>
          <w:color w:val="000000"/>
          <w:sz w:val="19"/>
          <w:szCs w:val="19"/>
        </w:rPr>
        <w:t xml:space="preserve">ferta de </w:t>
      </w:r>
    </w:p>
    <w:p w:rsidR="00000000" w:rsidRDefault="001245BD">
      <w:pPr>
        <w:pStyle w:val="CM11"/>
        <w:rPr>
          <w:rFonts w:ascii="TTE1CD6728t00" w:hAnsi="TTE1CD6728t00" w:cs="TTE1CD6728t00"/>
          <w:color w:val="000000"/>
          <w:sz w:val="19"/>
          <w:szCs w:val="19"/>
        </w:rPr>
      </w:pPr>
      <w:r>
        <w:rPr>
          <w:rFonts w:ascii="TTE1CD6728t00" w:hAnsi="TTE1CD6728t00" w:cs="TTE1CD6728t00"/>
          <w:color w:val="000000"/>
          <w:sz w:val="19"/>
          <w:szCs w:val="19"/>
        </w:rPr>
        <w:t>servicios marítimo</w:t>
      </w:r>
      <w:r>
        <w:rPr>
          <w:rFonts w:ascii="TTE1CD6728t00" w:hAnsi="TTE1CD6728t00" w:cs="TTE1CD6728t00"/>
          <w:color w:val="000000"/>
          <w:sz w:val="19"/>
          <w:szCs w:val="19"/>
        </w:rPr>
        <w:softHyphen/>
        <w:t>portuarios</w:t>
      </w:r>
      <w:r>
        <w:rPr>
          <w:rFonts w:ascii="TTE1CD6728t00" w:hAnsi="TTE1CD6728t00" w:cs="TTE1CD6728t00"/>
          <w:color w:val="000000"/>
          <w:sz w:val="19"/>
          <w:szCs w:val="19"/>
        </w:rPr>
        <w:softHyphen/>
        <w:t xml:space="preserve">antárticos competitivos vinculada a nuevas actividades emergentes (integración de servicios logísticos a cruceros de turismo, servicios logísticos </w:t>
      </w:r>
    </w:p>
    <w:p w:rsidR="00000000" w:rsidRDefault="007433DA">
      <w:pPr>
        <w:pStyle w:val="Default"/>
        <w:pageBreakBefore/>
        <w:framePr w:w="1488" w:wrap="auto" w:vAnchor="page" w:hAnchor="page" w:x="1683" w:y="1404"/>
        <w:spacing w:after="280"/>
        <w:rPr>
          <w:rFonts w:ascii="TTE1CD6728t00" w:hAnsi="TTE1CD6728t00" w:cs="TTE1CD6728t00"/>
          <w:sz w:val="19"/>
          <w:szCs w:val="19"/>
        </w:rPr>
      </w:pPr>
      <w:r>
        <w:rPr>
          <w:rFonts w:ascii="TTE1CD6728t00" w:hAnsi="TTE1CD6728t00" w:cs="TTE1CD6728t00"/>
          <w:noProof/>
          <w:sz w:val="19"/>
          <w:szCs w:val="19"/>
        </w:rPr>
        <w:lastRenderedPageBreak/>
        <w:drawing>
          <wp:inline distT="0" distB="0" distL="0" distR="0">
            <wp:extent cx="447675" cy="5619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Default"/>
        <w:spacing w:line="220" w:lineRule="atLeast"/>
        <w:jc w:val="center"/>
        <w:rPr>
          <w:rFonts w:ascii="TTE1CD6728t00" w:hAnsi="TTE1CD6728t00" w:cs="TTE1CD6728t00"/>
          <w:sz w:val="19"/>
          <w:szCs w:val="19"/>
        </w:rPr>
      </w:pPr>
      <w:r>
        <w:rPr>
          <w:rFonts w:ascii="TTE1CD6728t00" w:hAnsi="TTE1CD6728t00" w:cs="TTE1CD6728t00"/>
          <w:sz w:val="19"/>
          <w:szCs w:val="19"/>
        </w:rPr>
        <w:t xml:space="preserve">a expediciones científicas antárticas y polo científico temática antártica) </w:t>
      </w:r>
    </w:p>
    <w:p w:rsidR="00000000" w:rsidRDefault="001245BD">
      <w:pPr>
        <w:pStyle w:val="Default"/>
        <w:spacing w:line="263" w:lineRule="atLeast"/>
        <w:ind w:left="1827" w:hanging="1828"/>
        <w:jc w:val="both"/>
        <w:rPr>
          <w:rFonts w:ascii="TTE1CD6728t00" w:hAnsi="TTE1CD6728t00" w:cs="TTE1CD6728t00"/>
          <w:sz w:val="23"/>
          <w:szCs w:val="23"/>
        </w:rPr>
      </w:pPr>
      <w:r>
        <w:rPr>
          <w:rFonts w:ascii="TTE1CD6728t00" w:hAnsi="TTE1CD6728t00" w:cs="TTE1CD6728t00"/>
          <w:sz w:val="21"/>
          <w:szCs w:val="21"/>
        </w:rPr>
        <w:t xml:space="preserve">Pecuario </w:t>
      </w:r>
      <w:r>
        <w:rPr>
          <w:rFonts w:ascii="TTE1CD6728t00" w:hAnsi="TTE1CD6728t00" w:cs="TTE1CD6728t00"/>
          <w:sz w:val="21"/>
          <w:szCs w:val="21"/>
        </w:rPr>
        <w:tab/>
        <w:t>Promover acciones de modernización del sector, velando por la protección y recuperación de las áreas de pastoreo y la pureza sanitaria regional en la productividad d</w:t>
      </w:r>
      <w:r>
        <w:rPr>
          <w:rFonts w:ascii="TTE1CD6728t00" w:hAnsi="TTE1CD6728t00" w:cs="TTE1CD6728t00"/>
          <w:sz w:val="21"/>
          <w:szCs w:val="21"/>
        </w:rPr>
        <w:t xml:space="preserve">e rubros tales como: </w:t>
      </w:r>
      <w:r>
        <w:rPr>
          <w:rFonts w:ascii="TTE1CD6728t00" w:hAnsi="TTE1CD6728t00" w:cs="TTE1CD6728t00"/>
          <w:sz w:val="23"/>
          <w:szCs w:val="23"/>
        </w:rPr>
        <w:t xml:space="preserve">producción y procesamiento de carne ovina (industrial) y bovina, genética ovina y bovina, producción de lana ovina. </w:t>
      </w:r>
    </w:p>
    <w:p w:rsidR="00000000" w:rsidRDefault="001245BD">
      <w:pPr>
        <w:pStyle w:val="CM42"/>
        <w:spacing w:after="250"/>
        <w:jc w:val="both"/>
        <w:rPr>
          <w:rFonts w:ascii="TTE1CD6728t00" w:hAnsi="TTE1CD6728t00" w:cs="TTE1CD6728t00"/>
          <w:color w:val="000000"/>
          <w:sz w:val="23"/>
          <w:szCs w:val="23"/>
        </w:rPr>
      </w:pPr>
      <w:r>
        <w:rPr>
          <w:rFonts w:ascii="TTE1CD6728t00" w:hAnsi="TTE1CD6728t00" w:cs="TTE1CD6728t00"/>
          <w:color w:val="000000"/>
          <w:sz w:val="23"/>
          <w:szCs w:val="23"/>
        </w:rPr>
        <w:t xml:space="preserve">Forestal </w:t>
      </w:r>
    </w:p>
    <w:p w:rsidR="00000000" w:rsidRDefault="001245BD">
      <w:pPr>
        <w:pStyle w:val="CM35"/>
        <w:spacing w:after="170" w:line="220" w:lineRule="atLeast"/>
        <w:ind w:left="1827"/>
        <w:jc w:val="both"/>
        <w:rPr>
          <w:rFonts w:ascii="TTE1CD6728t00" w:hAnsi="TTE1CD6728t00" w:cs="TTE1CD6728t00"/>
          <w:color w:val="000000"/>
          <w:sz w:val="19"/>
          <w:szCs w:val="19"/>
        </w:rPr>
      </w:pPr>
      <w:r>
        <w:rPr>
          <w:rFonts w:ascii="TTE1CD6728t00" w:hAnsi="TTE1CD6728t00" w:cs="TTE1CD6728t00"/>
          <w:color w:val="000000"/>
          <w:sz w:val="19"/>
          <w:szCs w:val="19"/>
        </w:rPr>
        <w:t xml:space="preserve">Investigación y desarrollo en protección y recuperación de las áreas de pastoreo y la pureza sanitaria </w:t>
      </w:r>
      <w:r>
        <w:rPr>
          <w:rFonts w:ascii="TTE1CD6728t00" w:hAnsi="TTE1CD6728t00" w:cs="TTE1CD6728t00"/>
          <w:color w:val="000000"/>
          <w:sz w:val="19"/>
          <w:szCs w:val="19"/>
        </w:rPr>
        <w:t xml:space="preserve">regional, diversificación de productos de origen forestal, y diversificación </w:t>
      </w:r>
    </w:p>
    <w:p w:rsidR="00000000" w:rsidRDefault="001245BD">
      <w:pPr>
        <w:pStyle w:val="CM3"/>
        <w:spacing w:after="83"/>
        <w:jc w:val="both"/>
        <w:rPr>
          <w:rFonts w:ascii="TTE1CD6728t00" w:hAnsi="TTE1CD6728t00" w:cs="TTE1CD6728t00"/>
          <w:color w:val="000000"/>
          <w:sz w:val="23"/>
          <w:szCs w:val="23"/>
        </w:rPr>
      </w:pPr>
      <w:r>
        <w:rPr>
          <w:rFonts w:ascii="TTE1CD6728t00" w:hAnsi="TTE1CD6728t00" w:cs="TTE1CD6728t00"/>
          <w:color w:val="000000"/>
          <w:sz w:val="23"/>
          <w:szCs w:val="23"/>
        </w:rPr>
        <w:t xml:space="preserve">Hortofrutícola </w:t>
      </w:r>
    </w:p>
    <w:p w:rsidR="00000000" w:rsidRDefault="001245BD">
      <w:pPr>
        <w:pStyle w:val="CM37"/>
        <w:spacing w:after="277" w:line="220" w:lineRule="atLeast"/>
        <w:ind w:left="1827"/>
        <w:jc w:val="both"/>
        <w:rPr>
          <w:rFonts w:ascii="TTE1CD6728t00" w:hAnsi="TTE1CD6728t00" w:cs="TTE1CD6728t00"/>
          <w:color w:val="000000"/>
          <w:sz w:val="19"/>
          <w:szCs w:val="19"/>
        </w:rPr>
      </w:pPr>
      <w:r>
        <w:rPr>
          <w:rFonts w:ascii="TTE1CD6728t00" w:hAnsi="TTE1CD6728t00" w:cs="TTE1CD6728t00"/>
          <w:color w:val="000000"/>
          <w:sz w:val="19"/>
          <w:szCs w:val="19"/>
        </w:rPr>
        <w:t xml:space="preserve">y desarrollo de la actividad hortofrutícola. </w:t>
      </w:r>
    </w:p>
    <w:p w:rsidR="00000000" w:rsidRDefault="001245BD">
      <w:pPr>
        <w:pStyle w:val="CM4"/>
        <w:jc w:val="both"/>
        <w:rPr>
          <w:rFonts w:ascii="TTE1D653F0t00" w:hAnsi="TTE1D653F0t00" w:cs="TTE1D653F0t00"/>
          <w:color w:val="000000"/>
          <w:sz w:val="23"/>
          <w:szCs w:val="23"/>
        </w:rPr>
      </w:pPr>
      <w:r>
        <w:rPr>
          <w:rFonts w:ascii="TTE1D653F0t00" w:hAnsi="TTE1D653F0t00" w:cs="TTE1D653F0t00"/>
          <w:color w:val="000000"/>
          <w:sz w:val="23"/>
          <w:szCs w:val="23"/>
        </w:rPr>
        <w:t>El Consejo Regional de Magallanes y Antártica Chilena, de conformidad a la Estrategia de Innovación para la Competit</w:t>
      </w:r>
      <w:r>
        <w:rPr>
          <w:rFonts w:ascii="TTE1D653F0t00" w:hAnsi="TTE1D653F0t00" w:cs="TTE1D653F0t00"/>
          <w:color w:val="000000"/>
          <w:sz w:val="23"/>
          <w:szCs w:val="23"/>
        </w:rPr>
        <w:t xml:space="preserve">ividad y la Política Regional de Ciencia Tecnología e Innovación 2010 </w:t>
      </w:r>
    </w:p>
    <w:p w:rsidR="00000000" w:rsidRDefault="001245BD">
      <w:pPr>
        <w:pStyle w:val="CM37"/>
        <w:spacing w:after="2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 xml:space="preserve">– 2020, establece como lineamientos estratégicos tres ejes transversales para el año 2012: </w:t>
      </w:r>
    </w:p>
    <w:p w:rsidR="00000000" w:rsidRDefault="001245BD">
      <w:pPr>
        <w:pStyle w:val="CM36"/>
        <w:spacing w:after="177" w:line="286" w:lineRule="atLeast"/>
        <w:ind w:left="687"/>
        <w:jc w:val="both"/>
        <w:rPr>
          <w:rFonts w:cs="TTE23EEF90t00"/>
          <w:color w:val="000000"/>
          <w:sz w:val="23"/>
          <w:szCs w:val="23"/>
        </w:rPr>
      </w:pPr>
      <w:r>
        <w:rPr>
          <w:rFonts w:cs="TTE23EEF90t00"/>
          <w:color w:val="000000"/>
          <w:sz w:val="23"/>
          <w:szCs w:val="23"/>
        </w:rPr>
        <w:t xml:space="preserve">a) Energías Renovables </w:t>
      </w:r>
    </w:p>
    <w:p w:rsidR="00000000" w:rsidRDefault="001245BD">
      <w:pPr>
        <w:pStyle w:val="CM36"/>
        <w:spacing w:after="177" w:line="286" w:lineRule="atLeast"/>
        <w:ind w:left="687"/>
        <w:jc w:val="both"/>
        <w:rPr>
          <w:rFonts w:cs="TTE23EEF90t00"/>
          <w:color w:val="000000"/>
          <w:sz w:val="23"/>
          <w:szCs w:val="23"/>
        </w:rPr>
      </w:pPr>
      <w:r>
        <w:rPr>
          <w:rFonts w:cs="TTE23EEF90t00"/>
          <w:color w:val="000000"/>
          <w:sz w:val="23"/>
          <w:szCs w:val="23"/>
        </w:rPr>
        <w:t xml:space="preserve">b) Eficiencia Energética </w:t>
      </w:r>
    </w:p>
    <w:p w:rsidR="00000000" w:rsidRDefault="001245BD">
      <w:pPr>
        <w:pStyle w:val="CM43"/>
        <w:spacing w:after="970" w:line="286" w:lineRule="atLeast"/>
        <w:ind w:left="687"/>
        <w:jc w:val="both"/>
        <w:rPr>
          <w:rFonts w:cs="TTE23EEF90t00"/>
          <w:color w:val="000000"/>
          <w:sz w:val="23"/>
          <w:szCs w:val="23"/>
        </w:rPr>
      </w:pPr>
      <w:r>
        <w:rPr>
          <w:rFonts w:cs="TTE23EEF90t00"/>
          <w:color w:val="000000"/>
          <w:sz w:val="23"/>
          <w:szCs w:val="23"/>
        </w:rPr>
        <w:t xml:space="preserve">c) Investigación Aplicada </w:t>
      </w:r>
    </w:p>
    <w:p w:rsidR="00000000" w:rsidRDefault="001245BD">
      <w:pPr>
        <w:pStyle w:val="CM37"/>
        <w:spacing w:after="277" w:line="288" w:lineRule="atLeast"/>
        <w:jc w:val="both"/>
        <w:rPr>
          <w:rFonts w:cs="TTE23EEF90t00"/>
          <w:color w:val="000000"/>
          <w:sz w:val="23"/>
          <w:szCs w:val="23"/>
        </w:rPr>
      </w:pPr>
      <w:r>
        <w:rPr>
          <w:rFonts w:cs="TTE23EEF90t00"/>
          <w:color w:val="000000"/>
          <w:sz w:val="23"/>
          <w:szCs w:val="23"/>
        </w:rPr>
        <w:t>4. ASIGNACIÓN RE</w:t>
      </w:r>
      <w:r>
        <w:rPr>
          <w:rFonts w:cs="TTE23EEF90t00"/>
          <w:color w:val="000000"/>
          <w:sz w:val="23"/>
          <w:szCs w:val="23"/>
        </w:rPr>
        <w:t xml:space="preserve">GIONAL DE LA PROVISION PROGRAMA FIC REGIONAL </w:t>
      </w:r>
    </w:p>
    <w:p w:rsidR="00000000" w:rsidRDefault="001245BD">
      <w:pPr>
        <w:pStyle w:val="CM44"/>
        <w:spacing w:after="477" w:line="288" w:lineRule="atLeast"/>
        <w:jc w:val="both"/>
        <w:rPr>
          <w:rFonts w:ascii="TTE1D653F0t00" w:hAnsi="TTE1D653F0t00" w:cs="TTE1D653F0t00"/>
          <w:color w:val="000000"/>
          <w:sz w:val="23"/>
          <w:szCs w:val="23"/>
        </w:rPr>
      </w:pPr>
      <w:r>
        <w:rPr>
          <w:rFonts w:ascii="TTE1D653F0t00" w:hAnsi="TTE1D653F0t00" w:cs="TTE1D653F0t00"/>
          <w:color w:val="000000"/>
          <w:sz w:val="23"/>
          <w:szCs w:val="23"/>
        </w:rPr>
        <w:t xml:space="preserve">Se priorizará la financiación de aquellos iniciativas que estén claramente orientados a favorecer los procesos de </w:t>
      </w:r>
      <w:r>
        <w:rPr>
          <w:rFonts w:cs="TTE23EEF90t00"/>
          <w:color w:val="000000"/>
          <w:sz w:val="23"/>
          <w:szCs w:val="23"/>
        </w:rPr>
        <w:t xml:space="preserve">innovación para la competitividad conectadas con las empresarias y emprendedores innovadores en </w:t>
      </w:r>
      <w:r>
        <w:rPr>
          <w:rFonts w:cs="TTE23EEF90t00"/>
          <w:color w:val="000000"/>
          <w:sz w:val="23"/>
          <w:szCs w:val="23"/>
        </w:rPr>
        <w:t>sectores priorizados</w:t>
      </w:r>
      <w:r>
        <w:rPr>
          <w:rFonts w:ascii="TTE1D653F0t00" w:hAnsi="TTE1D653F0t00" w:cs="TTE1D653F0t00"/>
          <w:color w:val="000000"/>
          <w:sz w:val="23"/>
          <w:szCs w:val="23"/>
        </w:rPr>
        <w:t>, más aún a aquello cuya formulación venga liderada por un grupo de empresas y en los que se deje claro cuáles son los beneficios esperados en términos de competitividad. Dentro de estas iniciativas tendrá mayor peso la valoración conce</w:t>
      </w:r>
      <w:r>
        <w:rPr>
          <w:rFonts w:ascii="TTE1D653F0t00" w:hAnsi="TTE1D653F0t00" w:cs="TTE1D653F0t00"/>
          <w:color w:val="000000"/>
          <w:sz w:val="23"/>
          <w:szCs w:val="23"/>
        </w:rPr>
        <w:t xml:space="preserve">dida a las propuestas de estén claramente orientadas a implementar la política regional de ciencia, tecnología e innovación en las prioridades transversales y sectoriales definidas en estas Bases </w:t>
      </w:r>
    </w:p>
    <w:p w:rsidR="00000000" w:rsidRDefault="001245BD">
      <w:pPr>
        <w:pStyle w:val="CM4"/>
        <w:jc w:val="both"/>
        <w:rPr>
          <w:rFonts w:cs="TTE23EEF90t00"/>
          <w:color w:val="000000"/>
          <w:sz w:val="23"/>
          <w:szCs w:val="23"/>
        </w:rPr>
      </w:pPr>
      <w:r>
        <w:rPr>
          <w:rFonts w:cs="TTE23EEF90t00"/>
          <w:color w:val="000000"/>
          <w:sz w:val="23"/>
          <w:szCs w:val="23"/>
        </w:rPr>
        <w:t>4.1 En conformidad al Acuerdo del Consejo Regional, corresp</w:t>
      </w:r>
      <w:r>
        <w:rPr>
          <w:rFonts w:cs="TTE23EEF90t00"/>
          <w:color w:val="000000"/>
          <w:sz w:val="23"/>
          <w:szCs w:val="23"/>
        </w:rPr>
        <w:t xml:space="preserve">ondiente a la Sesión </w:t>
      </w:r>
    </w:p>
    <w:p w:rsidR="00000000" w:rsidRDefault="001245BD">
      <w:pPr>
        <w:pStyle w:val="CM36"/>
        <w:spacing w:after="177" w:line="286" w:lineRule="atLeast"/>
        <w:ind w:left="687"/>
        <w:jc w:val="both"/>
        <w:rPr>
          <w:rFonts w:ascii="TTE1D653F0t00" w:hAnsi="TTE1D653F0t00" w:cs="TTE1D653F0t00"/>
          <w:color w:val="000000"/>
          <w:sz w:val="23"/>
          <w:szCs w:val="23"/>
        </w:rPr>
      </w:pPr>
      <w:r>
        <w:rPr>
          <w:rFonts w:ascii="TTE1D653F0t00" w:hAnsi="TTE1D653F0t00" w:cs="TTE1D653F0t00"/>
          <w:color w:val="000000"/>
          <w:sz w:val="23"/>
          <w:szCs w:val="23"/>
        </w:rPr>
        <w:t>Extraordinaria N°1, de fecha 23.03.2012, los recursos destinados a éste concurso regional 2012, no podrá exceder a $ 628.891.000.</w:t>
      </w:r>
      <w:r>
        <w:rPr>
          <w:rFonts w:ascii="TTE1D653F0t00" w:hAnsi="TTE1D653F0t00" w:cs="TTE1D653F0t00"/>
          <w:color w:val="000000"/>
          <w:sz w:val="23"/>
          <w:szCs w:val="23"/>
        </w:rPr>
        <w:softHyphen/>
      </w:r>
    </w:p>
    <w:p w:rsidR="00000000" w:rsidRDefault="001245BD">
      <w:pPr>
        <w:pStyle w:val="CM13"/>
        <w:ind w:left="687"/>
        <w:jc w:val="both"/>
        <w:rPr>
          <w:rFonts w:cs="TTE23EEF90t00"/>
          <w:color w:val="000000"/>
          <w:sz w:val="23"/>
          <w:szCs w:val="23"/>
        </w:rPr>
      </w:pPr>
      <w:r>
        <w:rPr>
          <w:rFonts w:cs="TTE23EEF90t00"/>
          <w:color w:val="000000"/>
          <w:sz w:val="23"/>
          <w:szCs w:val="23"/>
        </w:rPr>
        <w:t>El monto máximo susceptible a ser financiado por iniciativa es de $180.000.000.</w:t>
      </w:r>
      <w:r>
        <w:rPr>
          <w:rFonts w:cs="TTE23EEF90t00"/>
          <w:color w:val="000000"/>
          <w:sz w:val="23"/>
          <w:szCs w:val="23"/>
        </w:rPr>
        <w:softHyphen/>
        <w:t>(ciento ochenta millone</w:t>
      </w:r>
      <w:r>
        <w:rPr>
          <w:rFonts w:cs="TTE23EEF90t00"/>
          <w:color w:val="000000"/>
          <w:sz w:val="23"/>
          <w:szCs w:val="23"/>
        </w:rPr>
        <w:t xml:space="preserve">s de pesos). </w:t>
      </w:r>
    </w:p>
    <w:p w:rsidR="00000000" w:rsidRDefault="007433DA">
      <w:pPr>
        <w:pStyle w:val="Default"/>
        <w:pageBreakBefore/>
        <w:framePr w:w="1488" w:wrap="auto" w:vAnchor="page" w:hAnchor="page" w:x="1683" w:y="1404"/>
        <w:spacing w:after="240"/>
        <w:rPr>
          <w:sz w:val="23"/>
          <w:szCs w:val="23"/>
        </w:rPr>
      </w:pPr>
      <w:r>
        <w:rPr>
          <w:noProof/>
          <w:sz w:val="23"/>
          <w:szCs w:val="23"/>
        </w:rPr>
        <w:lastRenderedPageBreak/>
        <w:drawing>
          <wp:inline distT="0" distB="0" distL="0" distR="0">
            <wp:extent cx="447675" cy="5619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jc w:val="center"/>
        <w:rPr>
          <w:rFonts w:cs="TTE23EEF90t00"/>
          <w:color w:val="000000"/>
          <w:sz w:val="23"/>
          <w:szCs w:val="23"/>
        </w:rPr>
      </w:pPr>
      <w:r>
        <w:rPr>
          <w:rFonts w:cs="TTE23EEF90t00"/>
          <w:color w:val="000000"/>
          <w:sz w:val="23"/>
          <w:szCs w:val="23"/>
        </w:rPr>
        <w:t xml:space="preserve">4.2 Criterios para la Evaluación de las iniciativas regionales postuladas </w:t>
      </w:r>
    </w:p>
    <w:p w:rsidR="00000000" w:rsidRDefault="001245BD">
      <w:pPr>
        <w:pStyle w:val="Default"/>
        <w:rPr>
          <w:rFonts w:cstheme="minorBidi"/>
          <w:color w:val="auto"/>
        </w:rPr>
      </w:pPr>
      <w:r>
        <w:rPr>
          <w:noProof/>
        </w:rPr>
        <w:pict>
          <v:shapetype id="_x0000_t202" coordsize="21600,21600" o:spt="202" path="m,l,21600r21600,l21600,xe">
            <v:stroke joinstyle="miter"/>
            <v:path gradientshapeok="t" o:connecttype="rect"/>
          </v:shapetype>
          <v:shape id="_x0000_s1026" type="#_x0000_t202" style="position:absolute;margin-left:79.5pt;margin-top:140.4pt;width:499.35pt;height:602.2pt;z-index:2516582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097"/>
                    <w:gridCol w:w="395"/>
                    <w:gridCol w:w="300"/>
                    <w:gridCol w:w="653"/>
                    <w:gridCol w:w="227"/>
                    <w:gridCol w:w="308"/>
                    <w:gridCol w:w="50"/>
                    <w:gridCol w:w="172"/>
                    <w:gridCol w:w="265"/>
                    <w:gridCol w:w="210"/>
                    <w:gridCol w:w="123"/>
                    <w:gridCol w:w="272"/>
                    <w:gridCol w:w="280"/>
                    <w:gridCol w:w="58"/>
                    <w:gridCol w:w="255"/>
                    <w:gridCol w:w="95"/>
                    <w:gridCol w:w="350"/>
                    <w:gridCol w:w="525"/>
                    <w:gridCol w:w="157"/>
                    <w:gridCol w:w="27"/>
                    <w:gridCol w:w="278"/>
                    <w:gridCol w:w="242"/>
                    <w:gridCol w:w="253"/>
                    <w:gridCol w:w="128"/>
                    <w:gridCol w:w="260"/>
                    <w:gridCol w:w="312"/>
                    <w:gridCol w:w="350"/>
                    <w:gridCol w:w="350"/>
                    <w:gridCol w:w="432"/>
                    <w:gridCol w:w="6"/>
                    <w:gridCol w:w="426"/>
                    <w:gridCol w:w="38"/>
                    <w:gridCol w:w="377"/>
                    <w:gridCol w:w="415"/>
                  </w:tblGrid>
                  <w:tr w:rsidR="00000000">
                    <w:tblPrEx>
                      <w:tblCellMar>
                        <w:top w:w="0" w:type="dxa"/>
                        <w:bottom w:w="0" w:type="dxa"/>
                      </w:tblCellMar>
                    </w:tblPrEx>
                    <w:trPr>
                      <w:gridAfter w:val="2"/>
                      <w:wAfter w:w="406" w:type="dxa"/>
                      <w:trHeight w:val="347"/>
                    </w:trPr>
                    <w:tc>
                      <w:tcPr>
                        <w:tcW w:w="1892" w:type="dxa"/>
                        <w:gridSpan w:val="3"/>
                        <w:tcBorders>
                          <w:top w:val="single" w:sz="6" w:space="0" w:color="050A10"/>
                          <w:left w:val="single" w:sz="6" w:space="0" w:color="000000"/>
                          <w:bottom w:val="single" w:sz="6" w:space="0" w:color="050A10"/>
                          <w:right w:val="single" w:sz="6" w:space="0" w:color="000102"/>
                        </w:tcBorders>
                        <w:shd w:val="clear" w:color="auto" w:fill="345D91"/>
                        <w:vAlign w:val="center"/>
                      </w:tcPr>
                      <w:p w:rsidR="00000000" w:rsidRDefault="001245BD">
                        <w:pPr>
                          <w:pStyle w:val="Default"/>
                          <w:jc w:val="center"/>
                          <w:rPr>
                            <w:rFonts w:ascii="TTE1CD66B0t00" w:hAnsi="TTE1CD66B0t00" w:cs="TTE1CD66B0t00"/>
                            <w:color w:val="FFFFFF"/>
                            <w:sz w:val="19"/>
                            <w:szCs w:val="19"/>
                          </w:rPr>
                        </w:pPr>
                        <w:r>
                          <w:rPr>
                            <w:rFonts w:ascii="TTE1CD66B0t00" w:hAnsi="TTE1CD66B0t00" w:cs="TTE1CD66B0t00"/>
                            <w:color w:val="FFFFFF"/>
                            <w:sz w:val="19"/>
                            <w:szCs w:val="19"/>
                          </w:rPr>
                          <w:t xml:space="preserve">Factor </w:t>
                        </w:r>
                      </w:p>
                    </w:tc>
                    <w:tc>
                      <w:tcPr>
                        <w:tcW w:w="4605" w:type="dxa"/>
                        <w:gridSpan w:val="19"/>
                        <w:tcBorders>
                          <w:top w:val="single" w:sz="6" w:space="0" w:color="050A10"/>
                          <w:left w:val="single" w:sz="6" w:space="0" w:color="000102"/>
                          <w:bottom w:val="single" w:sz="6" w:space="0" w:color="050A10"/>
                          <w:right w:val="single" w:sz="6" w:space="0" w:color="000000"/>
                        </w:tcBorders>
                        <w:shd w:val="clear" w:color="auto" w:fill="345D91"/>
                        <w:vAlign w:val="center"/>
                      </w:tcPr>
                      <w:p w:rsidR="00000000" w:rsidRDefault="001245BD">
                        <w:pPr>
                          <w:pStyle w:val="Default"/>
                          <w:jc w:val="center"/>
                          <w:rPr>
                            <w:rFonts w:ascii="TTE1CD66B0t00" w:hAnsi="TTE1CD66B0t00" w:cs="TTE1CD66B0t00"/>
                            <w:color w:val="FFFFFF"/>
                            <w:sz w:val="19"/>
                            <w:szCs w:val="19"/>
                          </w:rPr>
                        </w:pPr>
                        <w:r>
                          <w:rPr>
                            <w:rFonts w:ascii="TTE1CD66B0t00" w:hAnsi="TTE1CD66B0t00" w:cs="TTE1CD66B0t00"/>
                            <w:color w:val="FFFFFF"/>
                            <w:sz w:val="19"/>
                            <w:szCs w:val="19"/>
                          </w:rPr>
                          <w:t xml:space="preserve">Criterio/Indicador </w:t>
                        </w:r>
                      </w:p>
                    </w:tc>
                    <w:tc>
                      <w:tcPr>
                        <w:tcW w:w="880" w:type="dxa"/>
                        <w:gridSpan w:val="4"/>
                        <w:tcBorders>
                          <w:top w:val="single" w:sz="6" w:space="0" w:color="050A10"/>
                          <w:left w:val="single" w:sz="6" w:space="0" w:color="000000"/>
                          <w:bottom w:val="single" w:sz="6" w:space="0" w:color="050A10"/>
                          <w:right w:val="single" w:sz="4" w:space="0" w:color="000000"/>
                        </w:tcBorders>
                        <w:shd w:val="clear" w:color="auto" w:fill="345D91"/>
                      </w:tcPr>
                      <w:p w:rsidR="00000000" w:rsidRDefault="001245BD">
                        <w:pPr>
                          <w:pStyle w:val="Default"/>
                          <w:rPr>
                            <w:rFonts w:ascii="TTE1CD66B0t00" w:hAnsi="TTE1CD66B0t00" w:cs="TTE1CD66B0t00"/>
                            <w:color w:val="FFFFFF"/>
                            <w:sz w:val="19"/>
                            <w:szCs w:val="19"/>
                          </w:rPr>
                        </w:pPr>
                        <w:r>
                          <w:rPr>
                            <w:rFonts w:ascii="TTE1CD66B0t00" w:hAnsi="TTE1CD66B0t00" w:cs="TTE1CD66B0t00"/>
                            <w:color w:val="FFFFFF"/>
                            <w:sz w:val="19"/>
                            <w:szCs w:val="19"/>
                          </w:rPr>
                          <w:t xml:space="preserve">Puntaje por Criterio </w:t>
                        </w:r>
                      </w:p>
                    </w:tc>
                    <w:tc>
                      <w:tcPr>
                        <w:tcW w:w="905" w:type="dxa"/>
                        <w:gridSpan w:val="3"/>
                        <w:tcBorders>
                          <w:top w:val="single" w:sz="6" w:space="0" w:color="050A10"/>
                          <w:left w:val="single" w:sz="4" w:space="0" w:color="000000"/>
                          <w:bottom w:val="single" w:sz="6" w:space="0" w:color="050A10"/>
                          <w:right w:val="single" w:sz="6" w:space="0" w:color="000000"/>
                        </w:tcBorders>
                        <w:shd w:val="clear" w:color="auto" w:fill="345D91"/>
                      </w:tcPr>
                      <w:p w:rsidR="00000000" w:rsidRDefault="001245BD">
                        <w:pPr>
                          <w:pStyle w:val="Default"/>
                          <w:jc w:val="center"/>
                          <w:rPr>
                            <w:rFonts w:ascii="TTE1CD66B0t00" w:hAnsi="TTE1CD66B0t00" w:cs="TTE1CD66B0t00"/>
                            <w:color w:val="FFFFFF"/>
                            <w:sz w:val="19"/>
                            <w:szCs w:val="19"/>
                          </w:rPr>
                        </w:pPr>
                        <w:r>
                          <w:rPr>
                            <w:rFonts w:ascii="TTE1CD66B0t00" w:hAnsi="TTE1CD66B0t00" w:cs="TTE1CD66B0t00"/>
                            <w:color w:val="FFFFFF"/>
                            <w:sz w:val="19"/>
                            <w:szCs w:val="19"/>
                          </w:rPr>
                          <w:t xml:space="preserve">Puntaje Máximo </w:t>
                        </w:r>
                      </w:p>
                    </w:tc>
                    <w:tc>
                      <w:tcPr>
                        <w:tcW w:w="902" w:type="dxa"/>
                        <w:gridSpan w:val="4"/>
                        <w:tcBorders>
                          <w:top w:val="single" w:sz="6" w:space="0" w:color="050A10"/>
                          <w:left w:val="single" w:sz="6" w:space="0" w:color="000000"/>
                          <w:bottom w:val="single" w:sz="6" w:space="0" w:color="050A10"/>
                          <w:right w:val="single" w:sz="6" w:space="0" w:color="000000"/>
                        </w:tcBorders>
                        <w:shd w:val="clear" w:color="auto" w:fill="345D91"/>
                      </w:tcPr>
                      <w:p w:rsidR="00000000" w:rsidRDefault="001245BD">
                        <w:pPr>
                          <w:pStyle w:val="Default"/>
                          <w:jc w:val="center"/>
                          <w:rPr>
                            <w:rFonts w:ascii="TTE1CD66B0t00" w:hAnsi="TTE1CD66B0t00" w:cs="TTE1CD66B0t00"/>
                            <w:color w:val="FFFFFF"/>
                            <w:sz w:val="19"/>
                            <w:szCs w:val="19"/>
                          </w:rPr>
                        </w:pPr>
                        <w:r>
                          <w:rPr>
                            <w:rFonts w:ascii="TTE1CD66B0t00" w:hAnsi="TTE1CD66B0t00" w:cs="TTE1CD66B0t00"/>
                            <w:color w:val="FFFFFF"/>
                            <w:sz w:val="19"/>
                            <w:szCs w:val="19"/>
                          </w:rPr>
                          <w:t xml:space="preserve">Puntaje Mínimo </w:t>
                        </w:r>
                      </w:p>
                    </w:tc>
                  </w:tr>
                  <w:tr w:rsidR="00000000">
                    <w:tblPrEx>
                      <w:tblCellMar>
                        <w:top w:w="0" w:type="dxa"/>
                        <w:bottom w:w="0" w:type="dxa"/>
                      </w:tblCellMar>
                    </w:tblPrEx>
                    <w:trPr>
                      <w:gridAfter w:val="2"/>
                      <w:wAfter w:w="406" w:type="dxa"/>
                      <w:trHeight w:val="420"/>
                    </w:trPr>
                    <w:tc>
                      <w:tcPr>
                        <w:tcW w:w="400" w:type="dxa"/>
                        <w:tcBorders>
                          <w:top w:val="single" w:sz="6" w:space="0" w:color="050A10"/>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top w:val="single" w:sz="6" w:space="0" w:color="050A10"/>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top w:val="single" w:sz="6" w:space="0" w:color="050A10"/>
                          <w:left w:val="single" w:sz="6" w:space="0" w:color="000102"/>
                          <w:right w:val="single" w:sz="6" w:space="0" w:color="000000"/>
                        </w:tcBorders>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La </w:t>
                        </w:r>
                        <w:r>
                          <w:rPr>
                            <w:rFonts w:ascii="TTE1CD6728t00" w:hAnsi="TTE1CD6728t00" w:cs="TTE1CD6728t00"/>
                            <w:sz w:val="14"/>
                            <w:szCs w:val="14"/>
                          </w:rPr>
                          <w:t xml:space="preserve">iniciativa tiene un alto merito estratégico convergente con las prioridades regionales en materia de competitividad y del sistema regional de innovación. La iniciativa tiene un mediano o bajo mérito estratégico, convergente con </w:t>
                        </w:r>
                      </w:p>
                    </w:tc>
                    <w:tc>
                      <w:tcPr>
                        <w:tcW w:w="880" w:type="dxa"/>
                        <w:gridSpan w:val="4"/>
                        <w:tcBorders>
                          <w:top w:val="single" w:sz="6" w:space="0" w:color="050A10"/>
                          <w:left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15 </w:t>
                        </w:r>
                      </w:p>
                    </w:tc>
                    <w:tc>
                      <w:tcPr>
                        <w:tcW w:w="905" w:type="dxa"/>
                        <w:gridSpan w:val="3"/>
                        <w:tcBorders>
                          <w:top w:val="single" w:sz="6" w:space="0" w:color="050A10"/>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top w:val="single" w:sz="6" w:space="0" w:color="050A10"/>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155"/>
                    </w:trPr>
                    <w:tc>
                      <w:tcPr>
                        <w:tcW w:w="400" w:type="dxa"/>
                        <w:tcBorders>
                          <w:left w:val="single" w:sz="6" w:space="0" w:color="000000"/>
                          <w:right w:val="single" w:sz="6" w:space="0" w:color="000000"/>
                        </w:tcBorders>
                      </w:tcPr>
                      <w:p w:rsidR="00000000" w:rsidRDefault="001245BD">
                        <w:pPr>
                          <w:pStyle w:val="Default"/>
                          <w:jc w:val="center"/>
                          <w:rPr>
                            <w:rFonts w:ascii="TTE1CD66B0t00" w:hAnsi="TTE1CD66B0t00" w:cs="TTE1CD66B0t00"/>
                            <w:sz w:val="19"/>
                            <w:szCs w:val="19"/>
                          </w:rPr>
                        </w:pPr>
                        <w:r>
                          <w:rPr>
                            <w:rFonts w:ascii="TTE1CD66B0t00" w:hAnsi="TTE1CD66B0t00" w:cs="TTE1CD66B0t00"/>
                            <w:sz w:val="19"/>
                            <w:szCs w:val="19"/>
                          </w:rPr>
                          <w:t xml:space="preserve">1 </w:t>
                        </w:r>
                      </w:p>
                    </w:tc>
                    <w:tc>
                      <w:tcPr>
                        <w:tcW w:w="1492" w:type="dxa"/>
                        <w:gridSpan w:val="2"/>
                        <w:tcBorders>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right w:val="single" w:sz="6" w:space="0" w:color="000000"/>
                        </w:tcBorders>
                        <w:vAlign w:val="bottom"/>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las prioridades </w:t>
                        </w:r>
                        <w:r>
                          <w:rPr>
                            <w:rFonts w:ascii="TTE1CD6728t00" w:hAnsi="TTE1CD6728t00" w:cs="TTE1CD6728t00"/>
                            <w:sz w:val="14"/>
                            <w:szCs w:val="14"/>
                          </w:rPr>
                          <w:t xml:space="preserve">regionales en materia de competitividad y del sistema regional de innovación </w:t>
                        </w:r>
                      </w:p>
                    </w:tc>
                    <w:tc>
                      <w:tcPr>
                        <w:tcW w:w="880" w:type="dxa"/>
                        <w:gridSpan w:val="4"/>
                        <w:tcBorders>
                          <w:left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10 </w:t>
                        </w:r>
                      </w:p>
                    </w:tc>
                    <w:tc>
                      <w:tcPr>
                        <w:tcW w:w="905" w:type="dxa"/>
                        <w:gridSpan w:val="3"/>
                        <w:tcBorders>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258"/>
                    </w:trPr>
                    <w:tc>
                      <w:tcPr>
                        <w:tcW w:w="400" w:type="dxa"/>
                        <w:tcBorders>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right w:val="single" w:sz="6" w:space="0" w:color="000000"/>
                        </w:tcBorders>
                        <w:vAlign w:val="bottom"/>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La iniciativa no tiene mérito estratégico convergente con las prioridades regionales en materia de competitividad y del sistema regional de </w:t>
                        </w:r>
                      </w:p>
                    </w:tc>
                    <w:tc>
                      <w:tcPr>
                        <w:tcW w:w="880" w:type="dxa"/>
                        <w:gridSpan w:val="4"/>
                        <w:tcBorders>
                          <w:left w:val="single" w:sz="6" w:space="0" w:color="000000"/>
                          <w:right w:val="single" w:sz="4" w:space="0" w:color="000000"/>
                        </w:tcBorders>
                      </w:tcPr>
                      <w:p w:rsidR="00000000" w:rsidRDefault="001245BD">
                        <w:pPr>
                          <w:pStyle w:val="Default"/>
                          <w:jc w:val="center"/>
                          <w:rPr>
                            <w:rFonts w:cstheme="minorBidi"/>
                            <w:color w:val="auto"/>
                          </w:rPr>
                        </w:pPr>
                      </w:p>
                    </w:tc>
                    <w:tc>
                      <w:tcPr>
                        <w:tcW w:w="905" w:type="dxa"/>
                        <w:gridSpan w:val="3"/>
                        <w:tcBorders>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right w:val="single" w:sz="6" w:space="0" w:color="000000"/>
                        </w:tcBorders>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10 </w:t>
                        </w:r>
                      </w:p>
                    </w:tc>
                  </w:tr>
                  <w:tr w:rsidR="00000000">
                    <w:tblPrEx>
                      <w:tblCellMar>
                        <w:top w:w="0" w:type="dxa"/>
                        <w:bottom w:w="0" w:type="dxa"/>
                      </w:tblCellMar>
                    </w:tblPrEx>
                    <w:trPr>
                      <w:gridAfter w:val="2"/>
                      <w:wAfter w:w="406" w:type="dxa"/>
                      <w:trHeight w:val="93"/>
                    </w:trPr>
                    <w:tc>
                      <w:tcPr>
                        <w:tcW w:w="400" w:type="dxa"/>
                        <w:tcBorders>
                          <w:left w:val="single" w:sz="6" w:space="0" w:color="000000"/>
                          <w:bottom w:val="single" w:sz="4"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bottom w:val="single" w:sz="4"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bottom w:val="single" w:sz="4" w:space="0" w:color="000000"/>
                          <w:right w:val="single" w:sz="6" w:space="0" w:color="000000"/>
                        </w:tcBorders>
                        <w:vAlign w:val="center"/>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innovación </w:t>
                        </w:r>
                      </w:p>
                    </w:tc>
                    <w:tc>
                      <w:tcPr>
                        <w:tcW w:w="880" w:type="dxa"/>
                        <w:gridSpan w:val="4"/>
                        <w:tcBorders>
                          <w:left w:val="single" w:sz="6" w:space="0" w:color="000000"/>
                          <w:bottom w:val="single" w:sz="4"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0 </w:t>
                        </w:r>
                      </w:p>
                    </w:tc>
                    <w:tc>
                      <w:tcPr>
                        <w:tcW w:w="905" w:type="dxa"/>
                        <w:gridSpan w:val="3"/>
                        <w:tcBorders>
                          <w:left w:val="single" w:sz="4" w:space="0" w:color="000000"/>
                          <w:bottom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bottom w:val="single" w:sz="4"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592"/>
                    </w:trPr>
                    <w:tc>
                      <w:tcPr>
                        <w:tcW w:w="400" w:type="dxa"/>
                        <w:vMerge w:val="restart"/>
                        <w:tcBorders>
                          <w:top w:val="single" w:sz="4" w:space="0" w:color="000000"/>
                          <w:left w:val="single" w:sz="6" w:space="0" w:color="000000"/>
                          <w:right w:val="single" w:sz="6" w:space="0" w:color="000000"/>
                        </w:tcBorders>
                        <w:vAlign w:val="bottom"/>
                      </w:tcPr>
                      <w:p w:rsidR="00000000" w:rsidRDefault="001245BD">
                        <w:pPr>
                          <w:pStyle w:val="Default"/>
                          <w:jc w:val="center"/>
                          <w:rPr>
                            <w:rFonts w:ascii="TTE1CD66B0t00" w:hAnsi="TTE1CD66B0t00" w:cs="TTE1CD66B0t00"/>
                            <w:sz w:val="19"/>
                            <w:szCs w:val="19"/>
                          </w:rPr>
                        </w:pPr>
                        <w:r>
                          <w:rPr>
                            <w:rFonts w:ascii="TTE1CD66B0t00" w:hAnsi="TTE1CD66B0t00" w:cs="TTE1CD66B0t00"/>
                            <w:sz w:val="19"/>
                            <w:szCs w:val="19"/>
                          </w:rPr>
                          <w:t xml:space="preserve">2 </w:t>
                        </w:r>
                      </w:p>
                    </w:tc>
                    <w:tc>
                      <w:tcPr>
                        <w:tcW w:w="1492" w:type="dxa"/>
                        <w:gridSpan w:val="2"/>
                        <w:vMerge w:val="restart"/>
                        <w:tcBorders>
                          <w:top w:val="single" w:sz="4" w:space="0" w:color="000000"/>
                          <w:left w:val="single" w:sz="6" w:space="0" w:color="000000"/>
                          <w:right w:val="single" w:sz="6" w:space="0" w:color="000102"/>
                        </w:tcBorders>
                        <w:vAlign w:val="bottom"/>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Aporte innovador y valor añadido de la iniciativa a la </w:t>
                        </w:r>
                      </w:p>
                    </w:tc>
                    <w:tc>
                      <w:tcPr>
                        <w:tcW w:w="4605" w:type="dxa"/>
                        <w:gridSpan w:val="19"/>
                        <w:tcBorders>
                          <w:top w:val="single" w:sz="4" w:space="0" w:color="000000"/>
                          <w:left w:val="single" w:sz="6" w:space="0" w:color="000102"/>
                          <w:bottom w:val="single" w:sz="6" w:space="0" w:color="000000"/>
                          <w:right w:val="single" w:sz="6" w:space="0" w:color="000000"/>
                        </w:tcBorders>
                      </w:tcPr>
                      <w:p w:rsidR="00000000" w:rsidRDefault="001245BD">
                        <w:pPr>
                          <w:pStyle w:val="Default"/>
                          <w:rPr>
                            <w:rFonts w:ascii="TTE1CD66B0t00" w:hAnsi="TTE1CD66B0t00" w:cs="TTE1CD66B0t00"/>
                            <w:sz w:val="14"/>
                            <w:szCs w:val="14"/>
                          </w:rPr>
                        </w:pPr>
                        <w:r>
                          <w:rPr>
                            <w:rFonts w:ascii="TTE1CD6728t00" w:hAnsi="TTE1CD6728t00" w:cs="TTE1CD6728t00"/>
                            <w:sz w:val="14"/>
                            <w:szCs w:val="14"/>
                          </w:rPr>
                          <w:t xml:space="preserve">La iniciativa aporta a mitigar problemas en el sistema regional de innovación y a la implementación de medidas vinculantes con la </w:t>
                        </w:r>
                        <w:r>
                          <w:rPr>
                            <w:rFonts w:ascii="TTE1CD66B0t00" w:hAnsi="TTE1CD66B0t00" w:cs="TTE1CD66B0t00"/>
                            <w:sz w:val="14"/>
                            <w:szCs w:val="14"/>
                          </w:rPr>
                          <w:t>dinamización de innovación en las empresas y al emprendimiento</w:t>
                        </w:r>
                        <w:r>
                          <w:rPr>
                            <w:rFonts w:ascii="TTE1CD6728t00" w:hAnsi="TTE1CD6728t00" w:cs="TTE1CD6728t00"/>
                            <w:sz w:val="14"/>
                            <w:szCs w:val="14"/>
                          </w:rPr>
                          <w:t xml:space="preserve">. La </w:t>
                        </w:r>
                        <w:r>
                          <w:rPr>
                            <w:rFonts w:ascii="TTE1CD6728t00" w:hAnsi="TTE1CD6728t00" w:cs="TTE1CD6728t00"/>
                            <w:sz w:val="14"/>
                            <w:szCs w:val="14"/>
                          </w:rPr>
                          <w:t xml:space="preserve">iniciativa no aporta a mitigar problemas en el sistema regional de innovación y a la implementación de medidas vinculantes con la </w:t>
                        </w:r>
                        <w:r>
                          <w:rPr>
                            <w:rFonts w:ascii="TTE1CD66B0t00" w:hAnsi="TTE1CD66B0t00" w:cs="TTE1CD66B0t00"/>
                            <w:sz w:val="14"/>
                            <w:szCs w:val="14"/>
                          </w:rPr>
                          <w:t xml:space="preserve">dinamización de innovación en las empresas y al emprendimiento </w:t>
                        </w:r>
                      </w:p>
                    </w:tc>
                    <w:tc>
                      <w:tcPr>
                        <w:tcW w:w="880" w:type="dxa"/>
                        <w:gridSpan w:val="4"/>
                        <w:tcBorders>
                          <w:top w:val="single" w:sz="4" w:space="0" w:color="000000"/>
                          <w:left w:val="single" w:sz="6" w:space="0" w:color="000000"/>
                          <w:bottom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10 0 </w:t>
                        </w:r>
                      </w:p>
                    </w:tc>
                    <w:tc>
                      <w:tcPr>
                        <w:tcW w:w="905" w:type="dxa"/>
                        <w:gridSpan w:val="3"/>
                        <w:vMerge w:val="restart"/>
                        <w:tcBorders>
                          <w:top w:val="single" w:sz="4" w:space="0" w:color="000000"/>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vMerge w:val="restart"/>
                        <w:tcBorders>
                          <w:top w:val="single" w:sz="4" w:space="0" w:color="000000"/>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418"/>
                    </w:trPr>
                    <w:tc>
                      <w:p w:rsidR="00000000" w:rsidRDefault="001245BD">
                        <w:pPr>
                          <w:pStyle w:val="Default"/>
                          <w:jc w:val="center"/>
                          <w:rPr>
                            <w:rFonts w:cstheme="minorBidi"/>
                            <w:color w:val="auto"/>
                          </w:rPr>
                        </w:pPr>
                      </w:p>
                    </w:tc>
                    <w:tc>
                      <w:tcPr>
                        <w:tcW w:w="400" w:type="dxa"/>
                        <w:vMerge/>
                        <w:tcBorders>
                          <w:top w:val="single" w:sz="4" w:space="0" w:color="000000"/>
                          <w:left w:val="single" w:sz="6" w:space="0" w:color="000000"/>
                          <w:right w:val="single" w:sz="6" w:space="0" w:color="000000"/>
                        </w:tcBorders>
                        <w:vAlign w:val="bottom"/>
                      </w:tcPr>
                      <w:p w:rsidR="00000000" w:rsidRDefault="001245BD">
                        <w:pPr>
                          <w:pStyle w:val="Default"/>
                          <w:jc w:val="center"/>
                          <w:rPr>
                            <w:rFonts w:cstheme="minorBidi"/>
                            <w:color w:val="auto"/>
                          </w:rPr>
                        </w:pPr>
                      </w:p>
                    </w:tc>
                    <w:tc>
                      <w:tcPr>
                        <w:tcW w:w="1492" w:type="dxa"/>
                        <w:gridSpan w:val="2"/>
                        <w:vMerge/>
                        <w:tcBorders>
                          <w:top w:val="single" w:sz="4" w:space="0" w:color="000000"/>
                          <w:left w:val="single" w:sz="6" w:space="0" w:color="000000"/>
                          <w:right w:val="single" w:sz="6" w:space="0" w:color="000102"/>
                        </w:tcBorders>
                        <w:vAlign w:val="bottom"/>
                      </w:tcPr>
                      <w:p w:rsidR="00000000" w:rsidRDefault="001245BD">
                        <w:pPr>
                          <w:pStyle w:val="Default"/>
                          <w:jc w:val="center"/>
                          <w:rPr>
                            <w:rFonts w:ascii="TTE1CD66B0t00" w:hAnsi="TTE1CD66B0t00" w:cs="TTE1CD66B0t00"/>
                            <w:sz w:val="14"/>
                            <w:szCs w:val="14"/>
                          </w:rPr>
                        </w:pPr>
                        <w:r>
                          <w:rPr>
                            <w:rFonts w:ascii="TTE1CD6728t00" w:hAnsi="TTE1CD6728t00" w:cs="TTE1CD6728t00"/>
                            <w:sz w:val="14"/>
                            <w:szCs w:val="14"/>
                          </w:rPr>
                          <w:t xml:space="preserve">La iniciativa aporta a mitigar problemas en el </w:t>
                        </w:r>
                        <w:r>
                          <w:rPr>
                            <w:rFonts w:ascii="TTE1CD6728t00" w:hAnsi="TTE1CD6728t00" w:cs="TTE1CD6728t00"/>
                            <w:sz w:val="14"/>
                            <w:szCs w:val="14"/>
                          </w:rPr>
                          <w:t xml:space="preserve">fortalecimiento de </w:t>
                        </w:r>
                        <w:r>
                          <w:rPr>
                            <w:rFonts w:ascii="TTE1CD66B0t00" w:hAnsi="TTE1CD66B0t00" w:cs="TTE1CD66B0t00"/>
                            <w:sz w:val="14"/>
                            <w:szCs w:val="14"/>
                          </w:rPr>
                          <w:t xml:space="preserve">redes de innovación y/o articular la oferta de conocimiento con la demanda de las empresas y del mercado </w:t>
                        </w:r>
                        <w:r>
                          <w:rPr>
                            <w:rFonts w:ascii="TTE1CD6728t00" w:hAnsi="TTE1CD6728t00" w:cs="TTE1CD6728t00"/>
                            <w:sz w:val="14"/>
                            <w:szCs w:val="14"/>
                          </w:rPr>
                          <w:t xml:space="preserve">La iniciativa no aporta a mitigar problemas en el fortalecimiento de </w:t>
                        </w:r>
                        <w:r>
                          <w:rPr>
                            <w:rFonts w:ascii="TTE1CD66B0t00" w:hAnsi="TTE1CD66B0t00" w:cs="TTE1CD66B0t00"/>
                            <w:sz w:val="14"/>
                            <w:szCs w:val="14"/>
                          </w:rPr>
                          <w:t xml:space="preserve">redes </w:t>
                        </w:r>
                      </w:p>
                    </w:tc>
                    <w:tc>
                      <w:tcPr>
                        <w:tcW w:w="4605" w:type="dxa"/>
                        <w:gridSpan w:val="19"/>
                        <w:tcBorders>
                          <w:top w:val="single" w:sz="6" w:space="0" w:color="000000"/>
                          <w:left w:val="single" w:sz="6" w:space="0" w:color="000102"/>
                          <w:right w:val="single" w:sz="6" w:space="0" w:color="000000"/>
                        </w:tcBorders>
                        <w:vAlign w:val="bottom"/>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10 </w:t>
                        </w:r>
                      </w:p>
                    </w:tc>
                    <w:tc>
                      <w:tcPr>
                        <w:tcW w:w="880" w:type="dxa"/>
                        <w:gridSpan w:val="4"/>
                        <w:tcBorders>
                          <w:top w:val="single" w:sz="6" w:space="0" w:color="000000"/>
                          <w:left w:val="single" w:sz="6" w:space="0" w:color="000000"/>
                          <w:right w:val="single" w:sz="4" w:space="0" w:color="000000"/>
                        </w:tcBorders>
                      </w:tcPr>
                      <w:p w:rsidR="00000000" w:rsidRDefault="001245BD">
                        <w:pPr>
                          <w:pStyle w:val="Default"/>
                          <w:jc w:val="center"/>
                          <w:rPr>
                            <w:rFonts w:cstheme="minorBidi"/>
                            <w:color w:val="auto"/>
                          </w:rPr>
                        </w:pPr>
                      </w:p>
                    </w:tc>
                    <w:tc>
                      <w:tcPr>
                        <w:tcW w:w="905" w:type="dxa"/>
                        <w:gridSpan w:val="3"/>
                        <w:vMerge/>
                        <w:tcBorders>
                          <w:top w:val="single" w:sz="4" w:space="0" w:color="000000"/>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vMerge/>
                        <w:tcBorders>
                          <w:top w:val="single" w:sz="4" w:space="0" w:color="000000"/>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173"/>
                    </w:trPr>
                    <w:tc>
                      <w:tcPr>
                        <w:tcW w:w="400" w:type="dxa"/>
                        <w:vMerge w:val="restart"/>
                        <w:tcBorders>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vMerge w:val="restart"/>
                        <w:tcBorders>
                          <w:left w:val="single" w:sz="6" w:space="0" w:color="000000"/>
                          <w:right w:val="single" w:sz="6" w:space="0" w:color="000102"/>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competitividad </w:t>
                        </w:r>
                      </w:p>
                    </w:tc>
                    <w:tc>
                      <w:tcPr>
                        <w:tcW w:w="4605" w:type="dxa"/>
                        <w:gridSpan w:val="19"/>
                        <w:tcBorders>
                          <w:left w:val="single" w:sz="6" w:space="0" w:color="000102"/>
                          <w:bottom w:val="single" w:sz="6" w:space="0" w:color="000000"/>
                          <w:right w:val="single" w:sz="6" w:space="0" w:color="000000"/>
                        </w:tcBorders>
                        <w:vAlign w:val="center"/>
                      </w:tcPr>
                      <w:p w:rsidR="00000000" w:rsidRDefault="001245BD">
                        <w:pPr>
                          <w:pStyle w:val="Default"/>
                          <w:rPr>
                            <w:rFonts w:ascii="TTE1CD66B0t00" w:hAnsi="TTE1CD66B0t00" w:cs="TTE1CD66B0t00"/>
                            <w:sz w:val="14"/>
                            <w:szCs w:val="14"/>
                          </w:rPr>
                        </w:pPr>
                        <w:r>
                          <w:rPr>
                            <w:rFonts w:ascii="TTE1CD66B0t00" w:hAnsi="TTE1CD66B0t00" w:cs="TTE1CD66B0t00"/>
                            <w:sz w:val="14"/>
                            <w:szCs w:val="14"/>
                          </w:rPr>
                          <w:t xml:space="preserve">de innovación y/o articular la </w:t>
                        </w:r>
                        <w:r>
                          <w:rPr>
                            <w:rFonts w:ascii="TTE1CD66B0t00" w:hAnsi="TTE1CD66B0t00" w:cs="TTE1CD66B0t00"/>
                            <w:sz w:val="14"/>
                            <w:szCs w:val="14"/>
                          </w:rPr>
                          <w:t xml:space="preserve">oferta de conocimiento con la demanda de las empresas y del mercado </w:t>
                        </w:r>
                      </w:p>
                    </w:tc>
                    <w:tc>
                      <w:tcPr>
                        <w:tcW w:w="880" w:type="dxa"/>
                        <w:gridSpan w:val="4"/>
                        <w:tcBorders>
                          <w:left w:val="single" w:sz="6" w:space="0" w:color="000000"/>
                          <w:bottom w:val="single" w:sz="6" w:space="0" w:color="000000"/>
                          <w:right w:val="single" w:sz="4" w:space="0" w:color="000000"/>
                        </w:tcBorders>
                        <w:vAlign w:val="center"/>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0 </w:t>
                        </w:r>
                      </w:p>
                    </w:tc>
                    <w:tc>
                      <w:tcPr>
                        <w:tcW w:w="905" w:type="dxa"/>
                        <w:gridSpan w:val="3"/>
                        <w:vMerge w:val="restart"/>
                        <w:tcBorders>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vMerge w:val="restart"/>
                        <w:tcBorders>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168"/>
                    </w:trPr>
                    <w:tc>
                      <w:p w:rsidR="00000000" w:rsidRDefault="001245BD">
                        <w:pPr>
                          <w:pStyle w:val="Default"/>
                          <w:jc w:val="center"/>
                          <w:rPr>
                            <w:rFonts w:cstheme="minorBidi"/>
                            <w:color w:val="auto"/>
                          </w:rPr>
                        </w:pPr>
                      </w:p>
                    </w:tc>
                    <w:tc>
                      <w:tcPr>
                        <w:tcW w:w="400" w:type="dxa"/>
                        <w:vMerge/>
                        <w:tcBorders>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vMerge/>
                        <w:tcBorders>
                          <w:left w:val="single" w:sz="6" w:space="0" w:color="000000"/>
                          <w:right w:val="single" w:sz="6" w:space="0" w:color="000102"/>
                        </w:tcBorders>
                      </w:tcPr>
                      <w:p w:rsidR="00000000" w:rsidRDefault="001245BD">
                        <w:pPr>
                          <w:pStyle w:val="Default"/>
                          <w:jc w:val="center"/>
                          <w:rPr>
                            <w:rFonts w:ascii="TTE1CD6728t00" w:hAnsi="TTE1CD6728t00" w:cs="TTE1CD6728t00"/>
                            <w:sz w:val="14"/>
                            <w:szCs w:val="14"/>
                          </w:rPr>
                        </w:pPr>
                        <w:r>
                          <w:rPr>
                            <w:rFonts w:ascii="TTE1CD6728t00" w:hAnsi="TTE1CD6728t00" w:cs="TTE1CD6728t00"/>
                            <w:sz w:val="14"/>
                            <w:szCs w:val="14"/>
                          </w:rPr>
                          <w:t xml:space="preserve">La iniciativa aporta a generar soluciones concretas en el ingreso y en el empleo o acceso a servicios de bien público de interés innovativo u otros </w:t>
                        </w:r>
                      </w:p>
                    </w:tc>
                    <w:tc>
                      <w:tcPr>
                        <w:tcW w:w="4605" w:type="dxa"/>
                        <w:gridSpan w:val="19"/>
                        <w:tcBorders>
                          <w:top w:val="single" w:sz="6" w:space="0" w:color="000000"/>
                          <w:left w:val="single" w:sz="6" w:space="0" w:color="000102"/>
                          <w:right w:val="single" w:sz="6" w:space="0" w:color="000000"/>
                        </w:tcBorders>
                        <w:vAlign w:val="center"/>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10 </w:t>
                        </w:r>
                      </w:p>
                    </w:tc>
                    <w:tc>
                      <w:tcPr>
                        <w:tcW w:w="880" w:type="dxa"/>
                        <w:gridSpan w:val="4"/>
                        <w:tcBorders>
                          <w:top w:val="single" w:sz="6" w:space="0" w:color="000000"/>
                          <w:left w:val="single" w:sz="6" w:space="0" w:color="000000"/>
                          <w:right w:val="single" w:sz="4" w:space="0" w:color="000000"/>
                        </w:tcBorders>
                      </w:tcPr>
                      <w:p w:rsidR="00000000" w:rsidRDefault="001245BD">
                        <w:pPr>
                          <w:pStyle w:val="Default"/>
                          <w:jc w:val="center"/>
                          <w:rPr>
                            <w:rFonts w:cstheme="minorBidi"/>
                            <w:color w:val="auto"/>
                          </w:rPr>
                        </w:pPr>
                      </w:p>
                    </w:tc>
                    <w:tc>
                      <w:tcPr>
                        <w:tcW w:w="905" w:type="dxa"/>
                        <w:gridSpan w:val="3"/>
                        <w:vMerge/>
                        <w:tcBorders>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vMerge/>
                        <w:tcBorders>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248"/>
                    </w:trPr>
                    <w:tc>
                      <w:tcPr>
                        <w:tcW w:w="400" w:type="dxa"/>
                        <w:tcBorders>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right w:val="single" w:sz="6" w:space="0" w:color="000000"/>
                        </w:tcBorders>
                      </w:tcPr>
                      <w:p w:rsidR="00000000" w:rsidRDefault="001245BD">
                        <w:pPr>
                          <w:pStyle w:val="Default"/>
                          <w:rPr>
                            <w:rFonts w:ascii="TTE1CD66B0t00" w:hAnsi="TTE1CD66B0t00" w:cs="TTE1CD66B0t00"/>
                            <w:sz w:val="14"/>
                            <w:szCs w:val="14"/>
                          </w:rPr>
                        </w:pPr>
                        <w:r>
                          <w:rPr>
                            <w:rFonts w:ascii="TTE1CD6728t00" w:hAnsi="TTE1CD6728t00" w:cs="TTE1CD6728t00"/>
                            <w:sz w:val="14"/>
                            <w:szCs w:val="14"/>
                          </w:rPr>
                          <w:t>de carácter novedoso</w:t>
                        </w:r>
                        <w:r>
                          <w:rPr>
                            <w:rFonts w:ascii="TTE1CD6728t00" w:hAnsi="TTE1CD6728t00" w:cs="TTE1CD6728t00"/>
                            <w:sz w:val="14"/>
                            <w:szCs w:val="14"/>
                          </w:rPr>
                          <w:t xml:space="preserve">. La iniciativa no aporta a generar </w:t>
                        </w:r>
                        <w:r>
                          <w:rPr>
                            <w:rFonts w:ascii="TTE1CD66B0t00" w:hAnsi="TTE1CD66B0t00" w:cs="TTE1CD66B0t00"/>
                            <w:sz w:val="14"/>
                            <w:szCs w:val="14"/>
                          </w:rPr>
                          <w:t xml:space="preserve">soluciones concretas en el ingreso y en </w:t>
                        </w:r>
                      </w:p>
                    </w:tc>
                    <w:tc>
                      <w:tcPr>
                        <w:tcW w:w="880" w:type="dxa"/>
                        <w:gridSpan w:val="4"/>
                        <w:tcBorders>
                          <w:left w:val="single" w:sz="6" w:space="0" w:color="000000"/>
                          <w:right w:val="single" w:sz="4" w:space="0" w:color="000000"/>
                        </w:tcBorders>
                      </w:tcPr>
                      <w:p w:rsidR="00000000" w:rsidRDefault="001245BD">
                        <w:pPr>
                          <w:pStyle w:val="Default"/>
                          <w:jc w:val="center"/>
                          <w:rPr>
                            <w:rFonts w:cstheme="minorBidi"/>
                            <w:color w:val="auto"/>
                          </w:rPr>
                        </w:pPr>
                      </w:p>
                    </w:tc>
                    <w:tc>
                      <w:tcPr>
                        <w:tcW w:w="905" w:type="dxa"/>
                        <w:gridSpan w:val="3"/>
                        <w:tcBorders>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right w:val="single" w:sz="6" w:space="0" w:color="000000"/>
                        </w:tcBorders>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10 </w:t>
                        </w:r>
                      </w:p>
                    </w:tc>
                  </w:tr>
                  <w:tr w:rsidR="00000000">
                    <w:tblPrEx>
                      <w:tblCellMar>
                        <w:top w:w="0" w:type="dxa"/>
                        <w:bottom w:w="0" w:type="dxa"/>
                      </w:tblCellMar>
                    </w:tblPrEx>
                    <w:trPr>
                      <w:gridAfter w:val="2"/>
                      <w:wAfter w:w="406" w:type="dxa"/>
                      <w:trHeight w:val="91"/>
                    </w:trPr>
                    <w:tc>
                      <w:tcPr>
                        <w:tcW w:w="400" w:type="dxa"/>
                        <w:tcBorders>
                          <w:left w:val="single" w:sz="6" w:space="0" w:color="000000"/>
                          <w:bottom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bottom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bottom w:val="single" w:sz="6" w:space="0" w:color="000000"/>
                          <w:right w:val="single" w:sz="6" w:space="0" w:color="000000"/>
                        </w:tcBorders>
                        <w:vAlign w:val="center"/>
                      </w:tcPr>
                      <w:p w:rsidR="00000000" w:rsidRDefault="001245BD">
                        <w:pPr>
                          <w:pStyle w:val="Default"/>
                          <w:rPr>
                            <w:rFonts w:ascii="TTE1CD6728t00" w:hAnsi="TTE1CD6728t00" w:cs="TTE1CD6728t00"/>
                            <w:sz w:val="14"/>
                            <w:szCs w:val="14"/>
                          </w:rPr>
                        </w:pPr>
                        <w:r>
                          <w:rPr>
                            <w:rFonts w:ascii="TTE1CD66B0t00" w:hAnsi="TTE1CD66B0t00" w:cs="TTE1CD66B0t00"/>
                            <w:sz w:val="14"/>
                            <w:szCs w:val="14"/>
                          </w:rPr>
                          <w:t xml:space="preserve">el empleo </w:t>
                        </w:r>
                        <w:r>
                          <w:rPr>
                            <w:rFonts w:ascii="TTE1CD6728t00" w:hAnsi="TTE1CD6728t00" w:cs="TTE1CD6728t00"/>
                            <w:sz w:val="14"/>
                            <w:szCs w:val="14"/>
                          </w:rPr>
                          <w:t xml:space="preserve">o acceso a servicios de bien público de interés innovativo. </w:t>
                        </w:r>
                      </w:p>
                    </w:tc>
                    <w:tc>
                      <w:tcPr>
                        <w:tcW w:w="880" w:type="dxa"/>
                        <w:gridSpan w:val="4"/>
                        <w:tcBorders>
                          <w:left w:val="single" w:sz="6" w:space="0" w:color="000000"/>
                          <w:bottom w:val="single" w:sz="6" w:space="0" w:color="000000"/>
                          <w:right w:val="single" w:sz="4" w:space="0" w:color="000000"/>
                        </w:tcBorders>
                        <w:vAlign w:val="center"/>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0 </w:t>
                        </w:r>
                      </w:p>
                    </w:tc>
                    <w:tc>
                      <w:tcPr>
                        <w:tcW w:w="905" w:type="dxa"/>
                        <w:gridSpan w:val="3"/>
                        <w:tcBorders>
                          <w:left w:val="single" w:sz="4" w:space="0" w:color="000000"/>
                          <w:bottom w:val="single" w:sz="6"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bottom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65"/>
                    </w:trPr>
                    <w:tc>
                      <w:tcPr>
                        <w:tcW w:w="400" w:type="dxa"/>
                        <w:tcBorders>
                          <w:top w:val="single" w:sz="6" w:space="0" w:color="000000"/>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top w:val="single" w:sz="6" w:space="0" w:color="000000"/>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top w:val="single" w:sz="6" w:space="0" w:color="000000"/>
                          <w:left w:val="single" w:sz="6" w:space="0" w:color="000102"/>
                          <w:right w:val="single" w:sz="6" w:space="0" w:color="000000"/>
                        </w:tcBorders>
                        <w:vAlign w:val="bottom"/>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El proyecto provee soluciones concretas de alcance regional que satisfacen </w:t>
                        </w:r>
                      </w:p>
                    </w:tc>
                    <w:tc>
                      <w:tcPr>
                        <w:tcW w:w="880" w:type="dxa"/>
                        <w:gridSpan w:val="4"/>
                        <w:tcBorders>
                          <w:top w:val="single" w:sz="6" w:space="0" w:color="000000"/>
                          <w:left w:val="single" w:sz="6" w:space="0" w:color="000000"/>
                          <w:right w:val="single" w:sz="4" w:space="0" w:color="000000"/>
                        </w:tcBorders>
                      </w:tcPr>
                      <w:p w:rsidR="00000000" w:rsidRDefault="001245BD">
                        <w:pPr>
                          <w:pStyle w:val="Default"/>
                          <w:jc w:val="center"/>
                          <w:rPr>
                            <w:rFonts w:cstheme="minorBidi"/>
                            <w:color w:val="auto"/>
                          </w:rPr>
                        </w:pPr>
                      </w:p>
                    </w:tc>
                    <w:tc>
                      <w:tcPr>
                        <w:tcW w:w="905" w:type="dxa"/>
                        <w:gridSpan w:val="3"/>
                        <w:tcBorders>
                          <w:top w:val="single" w:sz="6" w:space="0" w:color="000000"/>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top w:val="single" w:sz="6" w:space="0" w:color="000000"/>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142"/>
                    </w:trPr>
                    <w:tc>
                      <w:tcPr>
                        <w:tcW w:w="400" w:type="dxa"/>
                        <w:tcBorders>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right w:val="single" w:sz="6" w:space="0" w:color="000000"/>
                        </w:tcBorders>
                        <w:vAlign w:val="center"/>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las </w:t>
                        </w:r>
                        <w:r>
                          <w:rPr>
                            <w:rFonts w:ascii="TTE1CD6728t00" w:hAnsi="TTE1CD6728t00" w:cs="TTE1CD6728t00"/>
                            <w:sz w:val="14"/>
                            <w:szCs w:val="14"/>
                          </w:rPr>
                          <w:t xml:space="preserve">necesidades efectivas en el sector al cual se pretende intervenir </w:t>
                        </w:r>
                      </w:p>
                    </w:tc>
                    <w:tc>
                      <w:tcPr>
                        <w:tcW w:w="880" w:type="dxa"/>
                        <w:gridSpan w:val="4"/>
                        <w:tcBorders>
                          <w:left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30 </w:t>
                        </w:r>
                      </w:p>
                    </w:tc>
                    <w:tc>
                      <w:tcPr>
                        <w:tcW w:w="905" w:type="dxa"/>
                        <w:gridSpan w:val="3"/>
                        <w:tcBorders>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361"/>
                    </w:trPr>
                    <w:tc>
                      <w:tcPr>
                        <w:tcW w:w="400" w:type="dxa"/>
                        <w:tcBorders>
                          <w:left w:val="single" w:sz="6" w:space="0" w:color="000000"/>
                          <w:right w:val="single" w:sz="6" w:space="0" w:color="000000"/>
                        </w:tcBorders>
                        <w:vAlign w:val="center"/>
                      </w:tcPr>
                      <w:p w:rsidR="00000000" w:rsidRDefault="001245BD">
                        <w:pPr>
                          <w:pStyle w:val="Default"/>
                          <w:jc w:val="center"/>
                          <w:rPr>
                            <w:rFonts w:ascii="TTE1CD66B0t00" w:hAnsi="TTE1CD66B0t00" w:cs="TTE1CD66B0t00"/>
                            <w:sz w:val="19"/>
                            <w:szCs w:val="19"/>
                          </w:rPr>
                        </w:pPr>
                        <w:r>
                          <w:rPr>
                            <w:rFonts w:ascii="TTE1CD66B0t00" w:hAnsi="TTE1CD66B0t00" w:cs="TTE1CD66B0t00"/>
                            <w:sz w:val="19"/>
                            <w:szCs w:val="19"/>
                          </w:rPr>
                          <w:t xml:space="preserve">3 </w:t>
                        </w:r>
                      </w:p>
                    </w:tc>
                    <w:tc>
                      <w:tcPr>
                        <w:tcW w:w="1492" w:type="dxa"/>
                        <w:gridSpan w:val="2"/>
                        <w:tcBorders>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right w:val="single" w:sz="6" w:space="0" w:color="000000"/>
                        </w:tcBorders>
                        <w:vAlign w:val="bottom"/>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El proyecto provee soluciones concretas desde fuera de la región las necesidades efectivas en el sector al cual se pretende intervenir. El proyecto no provee soluciones concreta</w:t>
                        </w:r>
                        <w:r>
                          <w:rPr>
                            <w:rFonts w:ascii="TTE1CD6728t00" w:hAnsi="TTE1CD6728t00" w:cs="TTE1CD6728t00"/>
                            <w:sz w:val="14"/>
                            <w:szCs w:val="14"/>
                          </w:rPr>
                          <w:t xml:space="preserve">s que satisfacen las necesidades </w:t>
                        </w:r>
                      </w:p>
                    </w:tc>
                    <w:tc>
                      <w:tcPr>
                        <w:tcW w:w="880" w:type="dxa"/>
                        <w:gridSpan w:val="4"/>
                        <w:tcBorders>
                          <w:left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15 </w:t>
                        </w:r>
                      </w:p>
                    </w:tc>
                    <w:tc>
                      <w:tcPr>
                        <w:tcW w:w="905" w:type="dxa"/>
                        <w:gridSpan w:val="3"/>
                        <w:tcBorders>
                          <w:left w:val="single" w:sz="4" w:space="0" w:color="000000"/>
                          <w:right w:val="single" w:sz="6" w:space="0" w:color="000000"/>
                        </w:tcBorders>
                        <w:vAlign w:val="center"/>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30 </w:t>
                        </w:r>
                      </w:p>
                    </w:tc>
                    <w:tc>
                      <w:tcPr>
                        <w:tcW w:w="902" w:type="dxa"/>
                        <w:gridSpan w:val="4"/>
                        <w:tcBorders>
                          <w:left w:val="single" w:sz="6" w:space="0" w:color="000000"/>
                          <w:right w:val="single" w:sz="6" w:space="0" w:color="000000"/>
                        </w:tcBorders>
                        <w:vAlign w:val="center"/>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15 </w:t>
                        </w:r>
                      </w:p>
                    </w:tc>
                  </w:tr>
                  <w:tr w:rsidR="00000000">
                    <w:tblPrEx>
                      <w:tblCellMar>
                        <w:top w:w="0" w:type="dxa"/>
                        <w:bottom w:w="0" w:type="dxa"/>
                      </w:tblCellMar>
                    </w:tblPrEx>
                    <w:trPr>
                      <w:gridAfter w:val="2"/>
                      <w:wAfter w:w="406" w:type="dxa"/>
                      <w:trHeight w:val="106"/>
                    </w:trPr>
                    <w:tc>
                      <w:tcPr>
                        <w:tcW w:w="400" w:type="dxa"/>
                        <w:tcBorders>
                          <w:left w:val="single" w:sz="6" w:space="0" w:color="000000"/>
                          <w:bottom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bottom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bottom w:val="single" w:sz="6" w:space="0" w:color="000000"/>
                          <w:right w:val="single" w:sz="6" w:space="0" w:color="000000"/>
                        </w:tcBorders>
                        <w:vAlign w:val="bottom"/>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efectivas en el sector al cual se pretende intervenir. </w:t>
                        </w:r>
                      </w:p>
                    </w:tc>
                    <w:tc>
                      <w:tcPr>
                        <w:tcW w:w="880" w:type="dxa"/>
                        <w:gridSpan w:val="4"/>
                        <w:tcBorders>
                          <w:left w:val="single" w:sz="6" w:space="0" w:color="000000"/>
                          <w:bottom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0 </w:t>
                        </w:r>
                      </w:p>
                    </w:tc>
                    <w:tc>
                      <w:tcPr>
                        <w:tcW w:w="905" w:type="dxa"/>
                        <w:gridSpan w:val="3"/>
                        <w:tcBorders>
                          <w:left w:val="single" w:sz="4" w:space="0" w:color="000000"/>
                          <w:bottom w:val="single" w:sz="6"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bottom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86"/>
                    </w:trPr>
                    <w:tc>
                      <w:tcPr>
                        <w:tcW w:w="400" w:type="dxa"/>
                        <w:tcBorders>
                          <w:top w:val="single" w:sz="6" w:space="0" w:color="000000"/>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top w:val="single" w:sz="6" w:space="0" w:color="000000"/>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top w:val="single" w:sz="6" w:space="0" w:color="000000"/>
                          <w:left w:val="single" w:sz="6" w:space="0" w:color="000102"/>
                          <w:right w:val="single" w:sz="6" w:space="0" w:color="000000"/>
                        </w:tcBorders>
                        <w:vAlign w:val="center"/>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El Proyecto considera la inclusión de localidades menos competitivas yo </w:t>
                        </w:r>
                      </w:p>
                    </w:tc>
                    <w:tc>
                      <w:tcPr>
                        <w:tcW w:w="880" w:type="dxa"/>
                        <w:gridSpan w:val="4"/>
                        <w:tcBorders>
                          <w:top w:val="single" w:sz="6" w:space="0" w:color="000000"/>
                          <w:left w:val="single" w:sz="6" w:space="0" w:color="000000"/>
                          <w:right w:val="single" w:sz="4" w:space="0" w:color="000000"/>
                        </w:tcBorders>
                      </w:tcPr>
                      <w:p w:rsidR="00000000" w:rsidRDefault="001245BD">
                        <w:pPr>
                          <w:pStyle w:val="Default"/>
                          <w:jc w:val="center"/>
                          <w:rPr>
                            <w:rFonts w:cstheme="minorBidi"/>
                            <w:color w:val="auto"/>
                          </w:rPr>
                        </w:pPr>
                      </w:p>
                    </w:tc>
                    <w:tc>
                      <w:tcPr>
                        <w:tcW w:w="905" w:type="dxa"/>
                        <w:gridSpan w:val="3"/>
                        <w:tcBorders>
                          <w:top w:val="single" w:sz="6" w:space="0" w:color="000000"/>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top w:val="single" w:sz="6" w:space="0" w:color="000000"/>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96"/>
                    </w:trPr>
                    <w:tc>
                      <w:tcPr>
                        <w:tcW w:w="400" w:type="dxa"/>
                        <w:tcBorders>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right w:val="single" w:sz="6" w:space="0" w:color="000102"/>
                        </w:tcBorders>
                        <w:vAlign w:val="bottom"/>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Alcance en la </w:t>
                        </w:r>
                      </w:p>
                    </w:tc>
                    <w:tc>
                      <w:tcPr>
                        <w:tcW w:w="4605" w:type="dxa"/>
                        <w:gridSpan w:val="19"/>
                        <w:tcBorders>
                          <w:left w:val="single" w:sz="6" w:space="0" w:color="000102"/>
                          <w:right w:val="single" w:sz="6" w:space="0" w:color="000000"/>
                        </w:tcBorders>
                        <w:vAlign w:val="center"/>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aisladas o la generación de condiciones de </w:t>
                        </w:r>
                        <w:r>
                          <w:rPr>
                            <w:rFonts w:ascii="TTE1CD6728t00" w:hAnsi="TTE1CD6728t00" w:cs="TTE1CD6728t00"/>
                            <w:sz w:val="14"/>
                            <w:szCs w:val="14"/>
                          </w:rPr>
                          <w:t xml:space="preserve">innovación o emprendimiento </w:t>
                        </w:r>
                      </w:p>
                    </w:tc>
                    <w:tc>
                      <w:tcPr>
                        <w:tcW w:w="880" w:type="dxa"/>
                        <w:gridSpan w:val="4"/>
                        <w:tcBorders>
                          <w:left w:val="single" w:sz="6" w:space="0" w:color="000000"/>
                          <w:right w:val="single" w:sz="4" w:space="0" w:color="000000"/>
                        </w:tcBorders>
                        <w:vAlign w:val="bottom"/>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15 </w:t>
                        </w:r>
                      </w:p>
                    </w:tc>
                    <w:tc>
                      <w:tcPr>
                        <w:tcW w:w="905" w:type="dxa"/>
                        <w:gridSpan w:val="3"/>
                        <w:tcBorders>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232"/>
                    </w:trPr>
                    <w:tc>
                      <w:tcPr>
                        <w:tcW w:w="400" w:type="dxa"/>
                        <w:tcBorders>
                          <w:left w:val="single" w:sz="6" w:space="0" w:color="000000"/>
                          <w:right w:val="single" w:sz="6" w:space="0" w:color="000000"/>
                        </w:tcBorders>
                        <w:vAlign w:val="center"/>
                      </w:tcPr>
                      <w:p w:rsidR="00000000" w:rsidRDefault="001245BD">
                        <w:pPr>
                          <w:pStyle w:val="Default"/>
                          <w:jc w:val="center"/>
                          <w:rPr>
                            <w:rFonts w:ascii="TTE1CD66B0t00" w:hAnsi="TTE1CD66B0t00" w:cs="TTE1CD66B0t00"/>
                            <w:sz w:val="19"/>
                            <w:szCs w:val="19"/>
                          </w:rPr>
                        </w:pPr>
                        <w:r>
                          <w:rPr>
                            <w:rFonts w:ascii="TTE1CD66B0t00" w:hAnsi="TTE1CD66B0t00" w:cs="TTE1CD66B0t00"/>
                            <w:sz w:val="19"/>
                            <w:szCs w:val="19"/>
                          </w:rPr>
                          <w:t xml:space="preserve">4 </w:t>
                        </w:r>
                      </w:p>
                    </w:tc>
                    <w:tc>
                      <w:tcPr>
                        <w:tcW w:w="1492" w:type="dxa"/>
                        <w:gridSpan w:val="2"/>
                        <w:tcBorders>
                          <w:left w:val="single" w:sz="6" w:space="0" w:color="000000"/>
                          <w:right w:val="single" w:sz="6" w:space="0" w:color="000102"/>
                        </w:tcBorders>
                        <w:vAlign w:val="center"/>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cohesión de innovación del </w:t>
                        </w:r>
                      </w:p>
                    </w:tc>
                    <w:tc>
                      <w:tcPr>
                        <w:tcW w:w="4605" w:type="dxa"/>
                        <w:gridSpan w:val="19"/>
                        <w:tcBorders>
                          <w:left w:val="single" w:sz="6" w:space="0" w:color="000102"/>
                          <w:right w:val="single" w:sz="6" w:space="0" w:color="000000"/>
                        </w:tcBorders>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en éstas El Proyecto solo genera condiciones generales de innovación regional en </w:t>
                        </w:r>
                      </w:p>
                    </w:tc>
                    <w:tc>
                      <w:tcPr>
                        <w:tcW w:w="880" w:type="dxa"/>
                        <w:gridSpan w:val="4"/>
                        <w:tcBorders>
                          <w:left w:val="single" w:sz="6" w:space="0" w:color="000000"/>
                          <w:right w:val="single" w:sz="4" w:space="0" w:color="000000"/>
                        </w:tcBorders>
                      </w:tcPr>
                      <w:p w:rsidR="00000000" w:rsidRDefault="001245BD">
                        <w:pPr>
                          <w:pStyle w:val="Default"/>
                          <w:jc w:val="center"/>
                          <w:rPr>
                            <w:rFonts w:cstheme="minorBidi"/>
                            <w:color w:val="auto"/>
                          </w:rPr>
                        </w:pPr>
                      </w:p>
                    </w:tc>
                    <w:tc>
                      <w:tcPr>
                        <w:tcW w:w="905" w:type="dxa"/>
                        <w:gridSpan w:val="3"/>
                        <w:tcBorders>
                          <w:left w:val="single" w:sz="4" w:space="0" w:color="000000"/>
                          <w:right w:val="single" w:sz="6" w:space="0" w:color="000000"/>
                        </w:tcBorders>
                        <w:vAlign w:val="center"/>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15 </w:t>
                        </w:r>
                      </w:p>
                    </w:tc>
                    <w:tc>
                      <w:tcPr>
                        <w:tcW w:w="902" w:type="dxa"/>
                        <w:gridSpan w:val="4"/>
                        <w:tcBorders>
                          <w:left w:val="single" w:sz="6" w:space="0" w:color="000000"/>
                          <w:right w:val="single" w:sz="6" w:space="0" w:color="000000"/>
                        </w:tcBorders>
                        <w:vAlign w:val="center"/>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10 </w:t>
                        </w:r>
                      </w:p>
                    </w:tc>
                  </w:tr>
                  <w:tr w:rsidR="00000000">
                    <w:tblPrEx>
                      <w:tblCellMar>
                        <w:top w:w="0" w:type="dxa"/>
                        <w:bottom w:w="0" w:type="dxa"/>
                      </w:tblCellMar>
                    </w:tblPrEx>
                    <w:trPr>
                      <w:gridAfter w:val="2"/>
                      <w:wAfter w:w="406" w:type="dxa"/>
                      <w:trHeight w:val="177"/>
                    </w:trPr>
                    <w:tc>
                      <w:tcPr>
                        <w:tcW w:w="400" w:type="dxa"/>
                        <w:tcBorders>
                          <w:left w:val="single" w:sz="6" w:space="0" w:color="000000"/>
                          <w:bottom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bottom w:val="single" w:sz="6" w:space="0" w:color="000000"/>
                          <w:right w:val="single" w:sz="6" w:space="0" w:color="000102"/>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territorio </w:t>
                        </w:r>
                      </w:p>
                    </w:tc>
                    <w:tc>
                      <w:tcPr>
                        <w:tcW w:w="4605" w:type="dxa"/>
                        <w:gridSpan w:val="19"/>
                        <w:tcBorders>
                          <w:left w:val="single" w:sz="6" w:space="0" w:color="000102"/>
                          <w:bottom w:val="single" w:sz="6" w:space="0" w:color="000000"/>
                          <w:right w:val="single" w:sz="6" w:space="0" w:color="000000"/>
                        </w:tcBorders>
                        <w:vAlign w:val="center"/>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localidades que concentran los RRHH especializados y la Infraestructura Tecnológica</w:t>
                        </w:r>
                        <w:r>
                          <w:rPr>
                            <w:rFonts w:ascii="TTE1CD6728t00" w:hAnsi="TTE1CD6728t00" w:cs="TTE1CD6728t00"/>
                            <w:sz w:val="14"/>
                            <w:szCs w:val="14"/>
                          </w:rPr>
                          <w:t xml:space="preserve">. </w:t>
                        </w:r>
                      </w:p>
                    </w:tc>
                    <w:tc>
                      <w:tcPr>
                        <w:tcW w:w="880" w:type="dxa"/>
                        <w:gridSpan w:val="4"/>
                        <w:tcBorders>
                          <w:left w:val="single" w:sz="6" w:space="0" w:color="000000"/>
                          <w:bottom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10 </w:t>
                        </w:r>
                      </w:p>
                    </w:tc>
                    <w:tc>
                      <w:tcPr>
                        <w:tcW w:w="905" w:type="dxa"/>
                        <w:gridSpan w:val="3"/>
                        <w:tcBorders>
                          <w:left w:val="single" w:sz="4" w:space="0" w:color="000000"/>
                          <w:bottom w:val="single" w:sz="6"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bottom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192"/>
                    </w:trPr>
                    <w:tc>
                      <w:tcPr>
                        <w:tcW w:w="400" w:type="dxa"/>
                        <w:tcBorders>
                          <w:top w:val="single" w:sz="6" w:space="0" w:color="000000"/>
                          <w:left w:val="single" w:sz="6"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top w:val="single" w:sz="6" w:space="0" w:color="000000"/>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top w:val="single" w:sz="6" w:space="0" w:color="000000"/>
                          <w:left w:val="single" w:sz="6" w:space="0" w:color="000102"/>
                          <w:right w:val="single" w:sz="6" w:space="0" w:color="000000"/>
                        </w:tcBorders>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El Proyecta documenta aportes pecuniarios y no pecuniarios, comprometidos y comprobable, igual o superior al 20% de su costo total. </w:t>
                        </w:r>
                      </w:p>
                    </w:tc>
                    <w:tc>
                      <w:tcPr>
                        <w:tcW w:w="880" w:type="dxa"/>
                        <w:gridSpan w:val="4"/>
                        <w:tcBorders>
                          <w:top w:val="single" w:sz="6" w:space="0" w:color="000000"/>
                          <w:left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10 </w:t>
                        </w:r>
                      </w:p>
                    </w:tc>
                    <w:tc>
                      <w:tcPr>
                        <w:tcW w:w="905" w:type="dxa"/>
                        <w:gridSpan w:val="3"/>
                        <w:tcBorders>
                          <w:top w:val="single" w:sz="6" w:space="0" w:color="000000"/>
                          <w:left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top w:val="single" w:sz="6" w:space="0" w:color="000000"/>
                          <w:left w:val="single" w:sz="6"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6" w:type="dxa"/>
                      <w:trHeight w:val="318"/>
                    </w:trPr>
                    <w:tc>
                      <w:tcPr>
                        <w:tcW w:w="400" w:type="dxa"/>
                        <w:tcBorders>
                          <w:left w:val="single" w:sz="6" w:space="0" w:color="000000"/>
                          <w:right w:val="single" w:sz="6" w:space="0" w:color="000000"/>
                        </w:tcBorders>
                        <w:vAlign w:val="center"/>
                      </w:tcPr>
                      <w:p w:rsidR="00000000" w:rsidRDefault="001245BD">
                        <w:pPr>
                          <w:pStyle w:val="Default"/>
                          <w:jc w:val="center"/>
                          <w:rPr>
                            <w:rFonts w:ascii="TTE1CD66B0t00" w:hAnsi="TTE1CD66B0t00" w:cs="TTE1CD66B0t00"/>
                            <w:sz w:val="19"/>
                            <w:szCs w:val="19"/>
                          </w:rPr>
                        </w:pPr>
                        <w:r>
                          <w:rPr>
                            <w:rFonts w:ascii="TTE1CD66B0t00" w:hAnsi="TTE1CD66B0t00" w:cs="TTE1CD66B0t00"/>
                            <w:sz w:val="19"/>
                            <w:szCs w:val="19"/>
                          </w:rPr>
                          <w:t xml:space="preserve">5 </w:t>
                        </w:r>
                      </w:p>
                    </w:tc>
                    <w:tc>
                      <w:tcPr>
                        <w:tcW w:w="1492" w:type="dxa"/>
                        <w:gridSpan w:val="2"/>
                        <w:tcBorders>
                          <w:left w:val="single" w:sz="6"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right w:val="single" w:sz="6" w:space="0" w:color="000000"/>
                        </w:tcBorders>
                        <w:vAlign w:val="bottom"/>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El Proyecta documenta aportes pecuniarios y no pecuniarios comprometidos y comprobable superior al </w:t>
                        </w:r>
                        <w:r>
                          <w:rPr>
                            <w:rFonts w:ascii="TTE1CD6728t00" w:hAnsi="TTE1CD6728t00" w:cs="TTE1CD6728t00"/>
                            <w:sz w:val="14"/>
                            <w:szCs w:val="14"/>
                          </w:rPr>
                          <w:t xml:space="preserve">10% e inferior al 20% de su costo total </w:t>
                        </w:r>
                      </w:p>
                    </w:tc>
                    <w:tc>
                      <w:tcPr>
                        <w:tcW w:w="880" w:type="dxa"/>
                        <w:gridSpan w:val="4"/>
                        <w:tcBorders>
                          <w:left w:val="single" w:sz="6"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5 </w:t>
                        </w:r>
                      </w:p>
                    </w:tc>
                    <w:tc>
                      <w:tcPr>
                        <w:tcW w:w="905" w:type="dxa"/>
                        <w:gridSpan w:val="3"/>
                        <w:tcBorders>
                          <w:left w:val="single" w:sz="4" w:space="0" w:color="000000"/>
                          <w:right w:val="single" w:sz="6" w:space="0" w:color="000000"/>
                        </w:tcBorders>
                        <w:vAlign w:val="center"/>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10 </w:t>
                        </w:r>
                      </w:p>
                    </w:tc>
                    <w:tc>
                      <w:tcPr>
                        <w:tcW w:w="902" w:type="dxa"/>
                        <w:gridSpan w:val="4"/>
                        <w:tcBorders>
                          <w:left w:val="single" w:sz="6" w:space="0" w:color="000000"/>
                          <w:right w:val="single" w:sz="6" w:space="0" w:color="000000"/>
                        </w:tcBorders>
                        <w:vAlign w:val="center"/>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5 </w:t>
                        </w:r>
                      </w:p>
                    </w:tc>
                  </w:tr>
                  <w:tr w:rsidR="00000000">
                    <w:tblPrEx>
                      <w:tblCellMar>
                        <w:top w:w="0" w:type="dxa"/>
                        <w:bottom w:w="0" w:type="dxa"/>
                      </w:tblCellMar>
                    </w:tblPrEx>
                    <w:trPr>
                      <w:gridAfter w:val="2"/>
                      <w:wAfter w:w="406" w:type="dxa"/>
                      <w:trHeight w:val="165"/>
                    </w:trPr>
                    <w:tc>
                      <w:tcPr>
                        <w:tcW w:w="400" w:type="dxa"/>
                        <w:tcBorders>
                          <w:left w:val="single" w:sz="6" w:space="0" w:color="000000"/>
                          <w:bottom w:val="single" w:sz="4" w:space="0" w:color="000000"/>
                          <w:right w:val="single" w:sz="6" w:space="0" w:color="000000"/>
                        </w:tcBorders>
                      </w:tcPr>
                      <w:p w:rsidR="00000000" w:rsidRDefault="001245BD">
                        <w:pPr>
                          <w:pStyle w:val="Default"/>
                          <w:jc w:val="center"/>
                          <w:rPr>
                            <w:rFonts w:cstheme="minorBidi"/>
                            <w:color w:val="auto"/>
                          </w:rPr>
                        </w:pPr>
                      </w:p>
                    </w:tc>
                    <w:tc>
                      <w:tcPr>
                        <w:tcW w:w="1492" w:type="dxa"/>
                        <w:gridSpan w:val="2"/>
                        <w:tcBorders>
                          <w:left w:val="single" w:sz="6" w:space="0" w:color="000000"/>
                          <w:bottom w:val="single" w:sz="4" w:space="0" w:color="000000"/>
                          <w:right w:val="single" w:sz="6" w:space="0" w:color="000102"/>
                        </w:tcBorders>
                      </w:tcPr>
                      <w:p w:rsidR="00000000" w:rsidRDefault="001245BD">
                        <w:pPr>
                          <w:pStyle w:val="Default"/>
                          <w:jc w:val="center"/>
                          <w:rPr>
                            <w:rFonts w:cstheme="minorBidi"/>
                            <w:color w:val="auto"/>
                          </w:rPr>
                        </w:pPr>
                      </w:p>
                    </w:tc>
                    <w:tc>
                      <w:tcPr>
                        <w:tcW w:w="4605" w:type="dxa"/>
                        <w:gridSpan w:val="19"/>
                        <w:tcBorders>
                          <w:left w:val="single" w:sz="6" w:space="0" w:color="000102"/>
                          <w:bottom w:val="single" w:sz="4" w:space="0" w:color="000000"/>
                          <w:right w:val="single" w:sz="6" w:space="0" w:color="000000"/>
                        </w:tcBorders>
                        <w:vAlign w:val="bottom"/>
                      </w:tcPr>
                      <w:p w:rsidR="00000000" w:rsidRDefault="001245BD">
                        <w:pPr>
                          <w:pStyle w:val="Default"/>
                          <w:rPr>
                            <w:rFonts w:ascii="TTE1CD6728t00" w:hAnsi="TTE1CD6728t00" w:cs="TTE1CD6728t00"/>
                            <w:sz w:val="14"/>
                            <w:szCs w:val="14"/>
                          </w:rPr>
                        </w:pPr>
                        <w:r>
                          <w:rPr>
                            <w:rFonts w:ascii="TTE1CD6728t00" w:hAnsi="TTE1CD6728t00" w:cs="TTE1CD6728t00"/>
                            <w:sz w:val="14"/>
                            <w:szCs w:val="14"/>
                          </w:rPr>
                          <w:t xml:space="preserve">El proyecto no documenta aportes pecuniarios de terceros. </w:t>
                        </w:r>
                      </w:p>
                    </w:tc>
                    <w:tc>
                      <w:tcPr>
                        <w:tcW w:w="880" w:type="dxa"/>
                        <w:gridSpan w:val="4"/>
                        <w:tcBorders>
                          <w:left w:val="single" w:sz="6" w:space="0" w:color="000000"/>
                          <w:bottom w:val="single" w:sz="4" w:space="0" w:color="000000"/>
                          <w:right w:val="single" w:sz="4" w:space="0" w:color="000000"/>
                        </w:tcBorders>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0 </w:t>
                        </w:r>
                      </w:p>
                    </w:tc>
                    <w:tc>
                      <w:tcPr>
                        <w:tcW w:w="905" w:type="dxa"/>
                        <w:gridSpan w:val="3"/>
                        <w:tcBorders>
                          <w:left w:val="single" w:sz="4" w:space="0" w:color="000000"/>
                          <w:bottom w:val="single" w:sz="4" w:space="0" w:color="000000"/>
                          <w:right w:val="single" w:sz="6" w:space="0" w:color="000000"/>
                        </w:tcBorders>
                      </w:tcPr>
                      <w:p w:rsidR="00000000" w:rsidRDefault="001245BD">
                        <w:pPr>
                          <w:pStyle w:val="Default"/>
                          <w:jc w:val="center"/>
                          <w:rPr>
                            <w:rFonts w:cstheme="minorBidi"/>
                            <w:color w:val="auto"/>
                          </w:rPr>
                        </w:pPr>
                      </w:p>
                    </w:tc>
                    <w:tc>
                      <w:tcPr>
                        <w:tcW w:w="902" w:type="dxa"/>
                        <w:gridSpan w:val="4"/>
                        <w:tcBorders>
                          <w:left w:val="single" w:sz="6" w:space="0" w:color="000000"/>
                          <w:bottom w:val="single" w:sz="4" w:space="0" w:color="000000"/>
                          <w:right w:val="single" w:sz="6"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404" w:type="dxa"/>
                      <w:trHeight w:val="140"/>
                    </w:trPr>
                    <w:tc>
                      <w:tcPr>
                        <w:tcW w:w="7380" w:type="dxa"/>
                        <w:gridSpan w:val="26"/>
                        <w:tcBorders>
                          <w:top w:val="single" w:sz="4" w:space="0" w:color="000000"/>
                          <w:left w:val="single" w:sz="6" w:space="0" w:color="000000"/>
                          <w:bottom w:val="single" w:sz="6" w:space="0" w:color="000000"/>
                          <w:right w:val="single" w:sz="4" w:space="0" w:color="000000"/>
                        </w:tcBorders>
                        <w:vAlign w:val="center"/>
                      </w:tcPr>
                      <w:p w:rsidR="00000000" w:rsidRDefault="001245BD">
                        <w:pPr>
                          <w:pStyle w:val="Default"/>
                          <w:jc w:val="center"/>
                          <w:rPr>
                            <w:rFonts w:ascii="TTE1CD66B0t00" w:hAnsi="TTE1CD66B0t00" w:cs="TTE1CD66B0t00"/>
                            <w:sz w:val="17"/>
                            <w:szCs w:val="17"/>
                          </w:rPr>
                        </w:pPr>
                        <w:r>
                          <w:rPr>
                            <w:rFonts w:ascii="TTE1CD66B0t00" w:hAnsi="TTE1CD66B0t00" w:cs="TTE1CD66B0t00"/>
                            <w:sz w:val="17"/>
                            <w:szCs w:val="17"/>
                          </w:rPr>
                          <w:t xml:space="preserve">TOTAL </w:t>
                        </w:r>
                      </w:p>
                    </w:tc>
                    <w:tc>
                      <w:tcPr>
                        <w:tcW w:w="905" w:type="dxa"/>
                        <w:gridSpan w:val="3"/>
                        <w:tcBorders>
                          <w:top w:val="single" w:sz="4" w:space="0" w:color="000000"/>
                          <w:left w:val="single" w:sz="4" w:space="0" w:color="000000"/>
                          <w:bottom w:val="single" w:sz="6" w:space="0" w:color="000000"/>
                          <w:right w:val="single" w:sz="6" w:space="0" w:color="000000"/>
                        </w:tcBorders>
                        <w:vAlign w:val="center"/>
                      </w:tcPr>
                      <w:p w:rsidR="00000000" w:rsidRDefault="001245BD">
                        <w:pPr>
                          <w:pStyle w:val="Default"/>
                          <w:jc w:val="center"/>
                          <w:rPr>
                            <w:rFonts w:ascii="TTE1CD66B0t00" w:hAnsi="TTE1CD66B0t00" w:cs="TTE1CD66B0t00"/>
                            <w:sz w:val="23"/>
                            <w:szCs w:val="23"/>
                          </w:rPr>
                        </w:pPr>
                        <w:r>
                          <w:rPr>
                            <w:rFonts w:ascii="TTE1CD66B0t00" w:hAnsi="TTE1CD66B0t00" w:cs="TTE1CD66B0t00"/>
                            <w:sz w:val="23"/>
                            <w:szCs w:val="23"/>
                          </w:rPr>
                          <w:t xml:space="preserve">100 </w:t>
                        </w:r>
                      </w:p>
                    </w:tc>
                    <w:tc>
                      <w:tcPr>
                        <w:tcW w:w="902" w:type="dxa"/>
                        <w:gridSpan w:val="4"/>
                        <w:tcBorders>
                          <w:top w:val="single" w:sz="4" w:space="0" w:color="000000"/>
                          <w:left w:val="single" w:sz="6" w:space="0" w:color="000000"/>
                          <w:bottom w:val="single" w:sz="6" w:space="0" w:color="000000"/>
                          <w:right w:val="single" w:sz="6" w:space="0" w:color="000000"/>
                        </w:tcBorders>
                        <w:vAlign w:val="center"/>
                      </w:tcPr>
                      <w:p w:rsidR="00000000" w:rsidRDefault="001245BD">
                        <w:pPr>
                          <w:pStyle w:val="Default"/>
                          <w:rPr>
                            <w:rFonts w:ascii="TTE1CD66B0t00" w:hAnsi="TTE1CD66B0t00" w:cs="TTE1CD66B0t00"/>
                            <w:sz w:val="23"/>
                            <w:szCs w:val="23"/>
                          </w:rPr>
                        </w:pPr>
                        <w:r>
                          <w:rPr>
                            <w:rFonts w:ascii="TTE1CD66B0t00" w:hAnsi="TTE1CD66B0t00" w:cs="TTE1CD66B0t00"/>
                            <w:sz w:val="23"/>
                            <w:szCs w:val="23"/>
                          </w:rPr>
                          <w:t xml:space="preserve">50 </w:t>
                        </w:r>
                      </w:p>
                    </w:tc>
                  </w:tr>
                </w:tbl>
              </w:txbxContent>
            </v:textbox>
            <w10:wrap type="through" anchorx="page" anchory="page"/>
          </v:shape>
        </w:pict>
      </w:r>
    </w:p>
    <w:p w:rsidR="00000000" w:rsidRDefault="001245BD">
      <w:pPr>
        <w:pStyle w:val="CM44"/>
        <w:spacing w:after="477" w:line="286" w:lineRule="atLeast"/>
        <w:ind w:left="1557"/>
        <w:jc w:val="both"/>
        <w:rPr>
          <w:sz w:val="23"/>
          <w:szCs w:val="23"/>
        </w:rPr>
      </w:pPr>
      <w:r>
        <w:rPr>
          <w:sz w:val="23"/>
          <w:szCs w:val="23"/>
        </w:rPr>
        <w:t xml:space="preserve">(Ficha Presentación de Iniciativas Anexo N° 1) </w:t>
      </w:r>
    </w:p>
    <w:p w:rsidR="00000000" w:rsidRDefault="001245BD">
      <w:pPr>
        <w:pStyle w:val="CM44"/>
        <w:spacing w:after="477" w:line="288" w:lineRule="atLeast"/>
        <w:jc w:val="both"/>
        <w:rPr>
          <w:rFonts w:ascii="TTE1D653F0t00" w:hAnsi="TTE1D653F0t00" w:cs="TTE1D653F0t00"/>
          <w:sz w:val="23"/>
          <w:szCs w:val="23"/>
        </w:rPr>
      </w:pPr>
      <w:r>
        <w:rPr>
          <w:rFonts w:ascii="TTE1D653F0t00" w:hAnsi="TTE1D653F0t00" w:cs="TTE1D653F0t00"/>
          <w:sz w:val="23"/>
          <w:szCs w:val="23"/>
        </w:rPr>
        <w:t>Los proyectos concursantes que no obtengan un puntaje mí</w:t>
      </w:r>
      <w:r>
        <w:rPr>
          <w:rFonts w:ascii="TTE1D653F0t00" w:hAnsi="TTE1D653F0t00" w:cs="TTE1D653F0t00"/>
          <w:sz w:val="23"/>
          <w:szCs w:val="23"/>
        </w:rPr>
        <w:t xml:space="preserve">nimo de 50 puntos, y que sus </w:t>
      </w:r>
      <w:r>
        <w:rPr>
          <w:rFonts w:ascii="TTE1D653F0t00" w:hAnsi="TTE1D653F0t00" w:cs="TTE1D653F0t00"/>
          <w:sz w:val="23"/>
          <w:szCs w:val="23"/>
        </w:rPr>
        <w:lastRenderedPageBreak/>
        <w:t xml:space="preserve">costos individuales no se ajusten a cualquiera de los siguientes ítems de gastos: </w:t>
      </w:r>
    </w:p>
    <w:p w:rsidR="00000000" w:rsidRDefault="001245BD">
      <w:pPr>
        <w:pStyle w:val="Default"/>
        <w:ind w:left="3825"/>
        <w:jc w:val="both"/>
        <w:rPr>
          <w:rFonts w:ascii="TTE1CD6728t00" w:hAnsi="TTE1CD6728t00" w:cs="TTE1CD6728t00"/>
          <w:color w:val="auto"/>
          <w:sz w:val="19"/>
          <w:szCs w:val="19"/>
        </w:rPr>
      </w:pPr>
      <w:r>
        <w:rPr>
          <w:rFonts w:ascii="TTE1CD6728t00" w:hAnsi="TTE1CD6728t00" w:cs="TTE1CD6728t00"/>
          <w:color w:val="auto"/>
          <w:sz w:val="19"/>
          <w:szCs w:val="19"/>
        </w:rPr>
        <w:t xml:space="preserve">7 </w:t>
      </w:r>
    </w:p>
    <w:p w:rsidR="00000000" w:rsidRDefault="007433DA">
      <w:pPr>
        <w:pStyle w:val="Default"/>
        <w:pageBreakBefore/>
        <w:framePr w:w="1488" w:wrap="auto" w:vAnchor="page" w:hAnchor="page" w:x="1683" w:y="1404"/>
        <w:spacing w:after="260"/>
        <w:rPr>
          <w:rFonts w:ascii="TTE1CD6728t00" w:hAnsi="TTE1CD6728t00" w:cs="TTE1CD6728t00"/>
          <w:color w:val="auto"/>
          <w:sz w:val="19"/>
          <w:szCs w:val="19"/>
        </w:rPr>
      </w:pPr>
      <w:r>
        <w:rPr>
          <w:rFonts w:ascii="TTE1CD6728t00" w:hAnsi="TTE1CD6728t00" w:cs="TTE1CD6728t00"/>
          <w:noProof/>
          <w:color w:val="auto"/>
          <w:sz w:val="19"/>
          <w:szCs w:val="19"/>
        </w:rPr>
        <w:lastRenderedPageBreak/>
        <w:drawing>
          <wp:inline distT="0" distB="0" distL="0" distR="0">
            <wp:extent cx="447675" cy="56197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Default"/>
        <w:numPr>
          <w:ilvl w:val="0"/>
          <w:numId w:val="1"/>
        </w:numPr>
        <w:spacing w:after="54"/>
        <w:rPr>
          <w:rFonts w:ascii="TTE1D653F0t00" w:hAnsi="TTE1D653F0t00" w:cs="TTE1D653F0t00"/>
          <w:color w:val="auto"/>
          <w:sz w:val="23"/>
          <w:szCs w:val="23"/>
        </w:rPr>
      </w:pPr>
      <w:r>
        <w:rPr>
          <w:rFonts w:ascii="TTE1D653F0t00" w:hAnsi="TTE1D653F0t00" w:cs="TTE1D653F0t00"/>
          <w:color w:val="auto"/>
          <w:sz w:val="23"/>
          <w:szCs w:val="23"/>
        </w:rPr>
        <w:t xml:space="preserve">Más de 8% en Gastos de Administración </w:t>
      </w:r>
    </w:p>
    <w:p w:rsidR="00000000" w:rsidRDefault="001245BD">
      <w:pPr>
        <w:pStyle w:val="Default"/>
        <w:numPr>
          <w:ilvl w:val="0"/>
          <w:numId w:val="1"/>
        </w:numPr>
        <w:spacing w:after="54"/>
        <w:rPr>
          <w:rFonts w:ascii="TTE1D653F0t00" w:hAnsi="TTE1D653F0t00" w:cs="TTE1D653F0t00"/>
          <w:color w:val="auto"/>
          <w:sz w:val="23"/>
          <w:szCs w:val="23"/>
        </w:rPr>
      </w:pPr>
      <w:r>
        <w:rPr>
          <w:rFonts w:ascii="TTE1D653F0t00" w:hAnsi="TTE1D653F0t00" w:cs="TTE1D653F0t00"/>
          <w:color w:val="auto"/>
          <w:sz w:val="23"/>
          <w:szCs w:val="23"/>
        </w:rPr>
        <w:t xml:space="preserve">Más de 10% en Gastos de Difusión </w:t>
      </w:r>
    </w:p>
    <w:p w:rsidR="00000000" w:rsidRDefault="001245BD">
      <w:pPr>
        <w:pStyle w:val="Default"/>
        <w:numPr>
          <w:ilvl w:val="0"/>
          <w:numId w:val="1"/>
        </w:numPr>
        <w:rPr>
          <w:rFonts w:ascii="TTE1D653F0t00" w:hAnsi="TTE1D653F0t00" w:cs="TTE1D653F0t00"/>
          <w:color w:val="auto"/>
          <w:sz w:val="23"/>
          <w:szCs w:val="23"/>
        </w:rPr>
      </w:pPr>
      <w:r>
        <w:rPr>
          <w:rFonts w:ascii="TTE1D653F0t00" w:hAnsi="TTE1D653F0t00" w:cs="TTE1D653F0t00"/>
          <w:color w:val="auto"/>
          <w:sz w:val="23"/>
          <w:szCs w:val="23"/>
        </w:rPr>
        <w:t xml:space="preserve">Más de 5% en Gastos de Imprevistos </w:t>
      </w:r>
    </w:p>
    <w:p w:rsidR="00000000" w:rsidRDefault="001245BD">
      <w:pPr>
        <w:pStyle w:val="Default"/>
        <w:rPr>
          <w:rFonts w:ascii="TTE1D653F0t00" w:hAnsi="TTE1D653F0t00" w:cs="TTE1D653F0t00"/>
          <w:color w:val="auto"/>
          <w:sz w:val="23"/>
          <w:szCs w:val="23"/>
        </w:rPr>
      </w:pPr>
    </w:p>
    <w:p w:rsidR="00000000" w:rsidRDefault="001245BD">
      <w:pPr>
        <w:pStyle w:val="CM37"/>
        <w:spacing w:after="277"/>
        <w:jc w:val="both"/>
        <w:rPr>
          <w:rFonts w:ascii="TTE1D653F0t00" w:hAnsi="TTE1D653F0t00" w:cs="TTE1D653F0t00"/>
          <w:sz w:val="23"/>
          <w:szCs w:val="23"/>
        </w:rPr>
      </w:pPr>
      <w:r>
        <w:rPr>
          <w:rFonts w:ascii="TTE1D653F0t00" w:hAnsi="TTE1D653F0t00" w:cs="TTE1D653F0t00"/>
          <w:sz w:val="23"/>
          <w:szCs w:val="23"/>
        </w:rPr>
        <w:t xml:space="preserve">Serán declarados NO ADMISIBLES, y no podrán pasar a la fase siguiente del concurso </w:t>
      </w:r>
    </w:p>
    <w:p w:rsidR="00000000" w:rsidRDefault="001245BD">
      <w:pPr>
        <w:pStyle w:val="CM37"/>
        <w:spacing w:after="277"/>
        <w:ind w:left="65"/>
        <w:jc w:val="both"/>
        <w:rPr>
          <w:rFonts w:cs="TTE23EEF90t00"/>
          <w:sz w:val="23"/>
          <w:szCs w:val="23"/>
        </w:rPr>
      </w:pPr>
      <w:r>
        <w:rPr>
          <w:rFonts w:cs="TTE23EEF90t00"/>
          <w:sz w:val="23"/>
          <w:szCs w:val="23"/>
        </w:rPr>
        <w:t>5. COMISIÓN REGIONAL DE EV</w:t>
      </w:r>
      <w:r>
        <w:rPr>
          <w:rFonts w:cs="TTE23EEF90t00"/>
          <w:sz w:val="23"/>
          <w:szCs w:val="23"/>
        </w:rPr>
        <w:t xml:space="preserve">ALUACIÓN </w:t>
      </w:r>
    </w:p>
    <w:p w:rsidR="00000000" w:rsidRDefault="001245BD">
      <w:pPr>
        <w:pStyle w:val="CM37"/>
        <w:spacing w:after="277"/>
        <w:ind w:left="65"/>
        <w:jc w:val="both"/>
        <w:rPr>
          <w:rFonts w:cs="TTE23EEF90t00"/>
          <w:sz w:val="23"/>
          <w:szCs w:val="23"/>
        </w:rPr>
      </w:pPr>
      <w:r>
        <w:rPr>
          <w:rFonts w:cs="TTE23EEF90t00"/>
          <w:sz w:val="23"/>
          <w:szCs w:val="23"/>
        </w:rPr>
        <w:t xml:space="preserve">5.1 ADMISIBILIDAD </w:t>
      </w:r>
    </w:p>
    <w:p w:rsidR="00000000" w:rsidRDefault="001245BD">
      <w:pPr>
        <w:pStyle w:val="CM37"/>
        <w:spacing w:after="277"/>
        <w:ind w:left="700"/>
        <w:jc w:val="both"/>
        <w:rPr>
          <w:rFonts w:cs="TTE23EEF90t00"/>
          <w:sz w:val="23"/>
          <w:szCs w:val="23"/>
        </w:rPr>
      </w:pPr>
      <w:r>
        <w:rPr>
          <w:rFonts w:cs="TTE23EEF90t00"/>
          <w:sz w:val="23"/>
          <w:szCs w:val="23"/>
        </w:rPr>
        <w:t xml:space="preserve">Comisión de admisibilidad (ver anexo 2) </w:t>
      </w:r>
    </w:p>
    <w:p w:rsidR="00000000" w:rsidRDefault="001245BD">
      <w:pPr>
        <w:pStyle w:val="CM37"/>
        <w:spacing w:after="277" w:line="286" w:lineRule="atLeast"/>
        <w:ind w:left="687"/>
        <w:jc w:val="both"/>
        <w:rPr>
          <w:rFonts w:ascii="TTE1D653F0t00" w:hAnsi="TTE1D653F0t00" w:cs="TTE1D653F0t00"/>
          <w:sz w:val="23"/>
          <w:szCs w:val="23"/>
        </w:rPr>
      </w:pPr>
      <w:r>
        <w:rPr>
          <w:rFonts w:ascii="TTE1D653F0t00" w:hAnsi="TTE1D653F0t00" w:cs="TTE1D653F0t00"/>
          <w:sz w:val="23"/>
          <w:szCs w:val="23"/>
        </w:rPr>
        <w:t>Estará conformada a lo menos por Tres funcionarios públicos que designe el Intendente y Presidente del Consejo Regional, designación que debe incluir la participación del Jefe de Divisió</w:t>
      </w:r>
      <w:r>
        <w:rPr>
          <w:rFonts w:ascii="TTE1D653F0t00" w:hAnsi="TTE1D653F0t00" w:cs="TTE1D653F0t00"/>
          <w:sz w:val="23"/>
          <w:szCs w:val="23"/>
        </w:rPr>
        <w:t xml:space="preserve">n de Desarrollo Regional, un profesional de la División de Desarrollo Regional y un Asesor Jurídico del Gobierno Regional, más un Cuarto integrante en representación del Consejo Regional de Magallanes y Antártica Chilena. </w:t>
      </w:r>
    </w:p>
    <w:p w:rsidR="00000000" w:rsidRDefault="001245BD">
      <w:pPr>
        <w:pStyle w:val="CM37"/>
        <w:spacing w:after="277" w:line="286" w:lineRule="atLeast"/>
        <w:ind w:left="687"/>
        <w:jc w:val="both"/>
        <w:rPr>
          <w:rFonts w:ascii="TTE1D653F0t00" w:hAnsi="TTE1D653F0t00" w:cs="TTE1D653F0t00"/>
          <w:sz w:val="23"/>
          <w:szCs w:val="23"/>
        </w:rPr>
      </w:pPr>
      <w:r>
        <w:rPr>
          <w:rFonts w:ascii="TTE1D653F0t00" w:hAnsi="TTE1D653F0t00" w:cs="TTE1D653F0t00"/>
          <w:sz w:val="23"/>
          <w:szCs w:val="23"/>
        </w:rPr>
        <w:t>Las Instituciones declaradas Admi</w:t>
      </w:r>
      <w:r>
        <w:rPr>
          <w:rFonts w:ascii="TTE1D653F0t00" w:hAnsi="TTE1D653F0t00" w:cs="TTE1D653F0t00"/>
          <w:sz w:val="23"/>
          <w:szCs w:val="23"/>
        </w:rPr>
        <w:t xml:space="preserve">sibles e Inadmisibles, quedarán establecidas en Acta de Admisibilidad. En el caso de las Inadmisibles, su causal quedará indicada en el Acta señalada. </w:t>
      </w:r>
    </w:p>
    <w:p w:rsidR="00000000" w:rsidRDefault="001245BD">
      <w:pPr>
        <w:pStyle w:val="CM37"/>
        <w:spacing w:after="277" w:line="286" w:lineRule="atLeast"/>
        <w:ind w:left="687"/>
        <w:jc w:val="both"/>
        <w:rPr>
          <w:rFonts w:ascii="TTE1D653F0t00" w:hAnsi="TTE1D653F0t00" w:cs="TTE1D653F0t00"/>
          <w:sz w:val="23"/>
          <w:szCs w:val="23"/>
        </w:rPr>
      </w:pPr>
      <w:r>
        <w:rPr>
          <w:rFonts w:ascii="TTE1D653F0t00" w:hAnsi="TTE1D653F0t00" w:cs="TTE1D653F0t00"/>
          <w:sz w:val="23"/>
          <w:szCs w:val="23"/>
        </w:rPr>
        <w:t>La Comisión de Admisibilidad podrá solicitar antecedentes complementarios a las Instituciones postulante</w:t>
      </w:r>
      <w:r>
        <w:rPr>
          <w:rFonts w:ascii="TTE1D653F0t00" w:hAnsi="TTE1D653F0t00" w:cs="TTE1D653F0t00"/>
          <w:sz w:val="23"/>
          <w:szCs w:val="23"/>
        </w:rPr>
        <w:t xml:space="preserve">s. Para este efecto deberá identificar en el Acta de Admisibilidad; el o las Instituciones, forma de comunicación y plazo de entrega de antecedentes requeridos. </w:t>
      </w:r>
    </w:p>
    <w:p w:rsidR="00000000" w:rsidRDefault="001245BD">
      <w:pPr>
        <w:pStyle w:val="CM37"/>
        <w:spacing w:after="277" w:line="328" w:lineRule="atLeast"/>
        <w:ind w:left="705"/>
        <w:jc w:val="both"/>
        <w:rPr>
          <w:rFonts w:ascii="TTE1D653F0t00" w:hAnsi="TTE1D653F0t00" w:cs="TTE1D653F0t00"/>
          <w:sz w:val="23"/>
          <w:szCs w:val="23"/>
        </w:rPr>
      </w:pPr>
      <w:r>
        <w:rPr>
          <w:rFonts w:ascii="TTE1D653F0t00" w:hAnsi="TTE1D653F0t00" w:cs="TTE1D653F0t00"/>
          <w:sz w:val="23"/>
          <w:szCs w:val="23"/>
        </w:rPr>
        <w:t>Para el caso de las Instituciones declaradas Inadmisibles, estás tendrán dos días hábiles para</w:t>
      </w:r>
      <w:r>
        <w:rPr>
          <w:rFonts w:ascii="TTE1D653F0t00" w:hAnsi="TTE1D653F0t00" w:cs="TTE1D653F0t00"/>
          <w:sz w:val="23"/>
          <w:szCs w:val="23"/>
        </w:rPr>
        <w:t xml:space="preserve"> subsanar esta condición a contar de la notificación vía correo electrónico. El plazo máximo de recepción de los antecedentes solicitados, será hasta las 17:00 hrs., del segundo día hábil en la oficina de partes del Gobierno Regional de Magallanes y Antárt</w:t>
      </w:r>
      <w:r>
        <w:rPr>
          <w:rFonts w:ascii="TTE1D653F0t00" w:hAnsi="TTE1D653F0t00" w:cs="TTE1D653F0t00"/>
          <w:sz w:val="23"/>
          <w:szCs w:val="23"/>
        </w:rPr>
        <w:t xml:space="preserve">ica Chilena, ubicada en calle Bories N°901. </w:t>
      </w:r>
    </w:p>
    <w:p w:rsidR="00000000" w:rsidRDefault="001245BD">
      <w:pPr>
        <w:pStyle w:val="CM37"/>
        <w:spacing w:after="277" w:line="328" w:lineRule="atLeast"/>
        <w:ind w:left="705"/>
        <w:jc w:val="both"/>
        <w:rPr>
          <w:rFonts w:cs="TTE23EEF90t00"/>
          <w:sz w:val="23"/>
          <w:szCs w:val="23"/>
        </w:rPr>
      </w:pPr>
      <w:r>
        <w:rPr>
          <w:rFonts w:cs="TTE23EEF90t00"/>
          <w:sz w:val="23"/>
          <w:szCs w:val="23"/>
        </w:rPr>
        <w:t xml:space="preserve">Condiciones de Admisibilidad </w:t>
      </w:r>
    </w:p>
    <w:p w:rsidR="00000000" w:rsidRDefault="001245BD">
      <w:pPr>
        <w:pStyle w:val="CM13"/>
        <w:ind w:left="687"/>
        <w:jc w:val="both"/>
        <w:rPr>
          <w:rFonts w:ascii="TTE1D653F0t00" w:hAnsi="TTE1D653F0t00" w:cs="TTE1D653F0t00"/>
          <w:sz w:val="23"/>
          <w:szCs w:val="23"/>
        </w:rPr>
      </w:pPr>
      <w:r>
        <w:rPr>
          <w:rFonts w:ascii="TTE1D653F0t00" w:hAnsi="TTE1D653F0t00" w:cs="TTE1D653F0t00"/>
          <w:sz w:val="23"/>
          <w:szCs w:val="23"/>
        </w:rPr>
        <w:t>Pueden postular solo las Universidades Estatales y las reconocidas por el Estado y las entidades públicas o privadas que cumplan con los requisitos establecidos en el punto 2 de las</w:t>
      </w:r>
      <w:r>
        <w:rPr>
          <w:rFonts w:ascii="TTE1D653F0t00" w:hAnsi="TTE1D653F0t00" w:cs="TTE1D653F0t00"/>
          <w:sz w:val="23"/>
          <w:szCs w:val="23"/>
        </w:rPr>
        <w:t xml:space="preserve"> presentes bases especiales, pudiendo presentar proyectos o líneas de acción en forma individual o asociativa. De ser así, una de las entidades socias deberá ejercer como coordinadora y responsable ante el GORE. </w:t>
      </w:r>
    </w:p>
    <w:p w:rsidR="00000000" w:rsidRDefault="007433DA">
      <w:pPr>
        <w:pStyle w:val="Default"/>
        <w:pageBreakBefore/>
        <w:framePr w:w="1488" w:wrap="auto" w:vAnchor="page" w:hAnchor="page" w:x="1683" w:y="1404"/>
        <w:spacing w:after="240"/>
        <w:rPr>
          <w:rFonts w:ascii="TTE1D653F0t00" w:hAnsi="TTE1D653F0t00" w:cs="TTE1D653F0t00"/>
          <w:color w:val="auto"/>
          <w:sz w:val="23"/>
          <w:szCs w:val="23"/>
        </w:rPr>
      </w:pPr>
      <w:r>
        <w:rPr>
          <w:rFonts w:ascii="TTE1D653F0t00" w:hAnsi="TTE1D653F0t00" w:cs="TTE1D653F0t00"/>
          <w:noProof/>
          <w:color w:val="auto"/>
          <w:sz w:val="23"/>
          <w:szCs w:val="23"/>
        </w:rPr>
        <w:lastRenderedPageBreak/>
        <w:drawing>
          <wp:inline distT="0" distB="0" distL="0" distR="0">
            <wp:extent cx="447675" cy="56197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line="286" w:lineRule="atLeast"/>
        <w:ind w:left="692" w:right="422"/>
        <w:rPr>
          <w:rFonts w:ascii="TTE1D653F0t00" w:hAnsi="TTE1D653F0t00" w:cs="TTE1D653F0t00"/>
          <w:sz w:val="23"/>
          <w:szCs w:val="23"/>
        </w:rPr>
      </w:pPr>
      <w:r>
        <w:rPr>
          <w:rFonts w:ascii="TTE1D653F0t00" w:hAnsi="TTE1D653F0t00" w:cs="TTE1D653F0t00"/>
          <w:sz w:val="23"/>
          <w:szCs w:val="23"/>
        </w:rPr>
        <w:t>Las propuestas o proyectos que no cumplan con estas condiciones de admisibilidad ni presenten iniciativas vinculadas a las prioridades regionales establecidas en la política regional serán declarados fuera de bases y, en</w:t>
      </w:r>
      <w:r>
        <w:rPr>
          <w:rFonts w:ascii="TTE1D653F0t00" w:hAnsi="TTE1D653F0t00" w:cs="TTE1D653F0t00"/>
          <w:sz w:val="23"/>
          <w:szCs w:val="23"/>
        </w:rPr>
        <w:t xml:space="preserve"> consecuencia, no seguirán participando en la presente convocatoria. </w:t>
      </w:r>
    </w:p>
    <w:p w:rsidR="00000000" w:rsidRDefault="001245BD">
      <w:pPr>
        <w:pStyle w:val="CM37"/>
        <w:spacing w:after="277" w:line="291" w:lineRule="atLeast"/>
        <w:ind w:left="692"/>
        <w:rPr>
          <w:rFonts w:ascii="TTE1D653F0t00" w:hAnsi="TTE1D653F0t00" w:cs="TTE1D653F0t00"/>
          <w:sz w:val="23"/>
          <w:szCs w:val="23"/>
        </w:rPr>
      </w:pPr>
      <w:r>
        <w:rPr>
          <w:rFonts w:ascii="TTE1D653F0t00" w:hAnsi="TTE1D653F0t00" w:cs="TTE1D653F0t00"/>
          <w:sz w:val="23"/>
          <w:szCs w:val="23"/>
        </w:rPr>
        <w:t>Las propuestas o proyectos presentados deberán abocarse a los sectores definidos en los requerimientos regionales, mencionados en las presentes bases. Luego del proceso de presentación d</w:t>
      </w:r>
      <w:r>
        <w:rPr>
          <w:rFonts w:ascii="TTE1D653F0t00" w:hAnsi="TTE1D653F0t00" w:cs="TTE1D653F0t00"/>
          <w:sz w:val="23"/>
          <w:szCs w:val="23"/>
        </w:rPr>
        <w:t xml:space="preserve">e las iniciativas, éstas serán sometidas a una revisión de admisibilidad cuyo objetivo es verificar el cumplimiento de los requisitos y entrega de los documentos exigidos en las presentes Bases. </w:t>
      </w:r>
    </w:p>
    <w:p w:rsidR="00000000" w:rsidRDefault="001245BD">
      <w:pPr>
        <w:pStyle w:val="CM37"/>
        <w:spacing w:after="277" w:line="286" w:lineRule="atLeast"/>
        <w:ind w:left="692" w:right="422"/>
        <w:rPr>
          <w:rFonts w:ascii="TTE1D653F0t00" w:hAnsi="TTE1D653F0t00" w:cs="TTE1D653F0t00"/>
          <w:sz w:val="23"/>
          <w:szCs w:val="23"/>
        </w:rPr>
      </w:pPr>
      <w:r>
        <w:rPr>
          <w:rFonts w:ascii="TTE1D653F0t00" w:hAnsi="TTE1D653F0t00" w:cs="TTE1D653F0t00"/>
          <w:sz w:val="23"/>
          <w:szCs w:val="23"/>
        </w:rPr>
        <w:t xml:space="preserve">La evaluación de admisibilidad será realizada por la </w:t>
      </w:r>
      <w:r>
        <w:rPr>
          <w:rFonts w:cs="TTE23EEF90t00"/>
          <w:sz w:val="23"/>
          <w:szCs w:val="23"/>
        </w:rPr>
        <w:t>Comisió</w:t>
      </w:r>
      <w:r>
        <w:rPr>
          <w:rFonts w:cs="TTE23EEF90t00"/>
          <w:sz w:val="23"/>
          <w:szCs w:val="23"/>
        </w:rPr>
        <w:t xml:space="preserve">n de Apertura, </w:t>
      </w:r>
      <w:r>
        <w:rPr>
          <w:rFonts w:ascii="TTE1D653F0t00" w:hAnsi="TTE1D653F0t00" w:cs="TTE1D653F0t00"/>
          <w:sz w:val="23"/>
          <w:szCs w:val="23"/>
        </w:rPr>
        <w:t>creada para tal efecto, en un plazo máximo de 7 días corridos, contados desde la fecha de cierre de la postulación indicada en la convocatoria. Se levantará un acta de admisibilidad que deberá contener las iniciativas declaradas admisibles e</w:t>
      </w:r>
      <w:r>
        <w:rPr>
          <w:rFonts w:ascii="TTE1D653F0t00" w:hAnsi="TTE1D653F0t00" w:cs="TTE1D653F0t00"/>
          <w:sz w:val="23"/>
          <w:szCs w:val="23"/>
        </w:rPr>
        <w:t xml:space="preserve"> inadmisibles, éstas últimas deberán indicar el motivo fundado de rechazo. El acta será publicada en la página Web del Gobierno Regional </w:t>
      </w:r>
      <w:r>
        <w:rPr>
          <w:rFonts w:ascii="TTE1D653F0t00" w:hAnsi="TTE1D653F0t00" w:cs="TTE1D653F0t00"/>
          <w:sz w:val="23"/>
          <w:szCs w:val="23"/>
          <w:u w:val="single"/>
        </w:rPr>
        <w:t xml:space="preserve">www.goremagallanes.cl </w:t>
      </w:r>
    </w:p>
    <w:p w:rsidR="00000000" w:rsidRDefault="001245BD">
      <w:pPr>
        <w:pStyle w:val="CM37"/>
        <w:spacing w:after="277" w:line="293" w:lineRule="atLeast"/>
        <w:rPr>
          <w:rFonts w:cs="TTE23EEF90t00"/>
          <w:sz w:val="23"/>
          <w:szCs w:val="23"/>
        </w:rPr>
      </w:pPr>
      <w:r>
        <w:rPr>
          <w:rFonts w:cs="TTE23EEF90t00"/>
          <w:sz w:val="23"/>
          <w:szCs w:val="23"/>
        </w:rPr>
        <w:t xml:space="preserve">5.2 COMISION DE EVALUACION </w:t>
      </w:r>
    </w:p>
    <w:p w:rsidR="00000000" w:rsidRDefault="001245BD">
      <w:pPr>
        <w:pStyle w:val="CM37"/>
        <w:spacing w:after="277" w:line="286" w:lineRule="atLeast"/>
        <w:ind w:left="692" w:right="422"/>
        <w:rPr>
          <w:rFonts w:ascii="TTE1D653F0t00" w:hAnsi="TTE1D653F0t00" w:cs="TTE1D653F0t00"/>
          <w:sz w:val="23"/>
          <w:szCs w:val="23"/>
        </w:rPr>
      </w:pPr>
      <w:r>
        <w:rPr>
          <w:rFonts w:ascii="TTE1D653F0t00" w:hAnsi="TTE1D653F0t00" w:cs="TTE1D653F0t00"/>
          <w:sz w:val="23"/>
          <w:szCs w:val="23"/>
        </w:rPr>
        <w:t>Declarada la admisibilidad de las propuestas o proyectos por la Comi</w:t>
      </w:r>
      <w:r>
        <w:rPr>
          <w:rFonts w:ascii="TTE1D653F0t00" w:hAnsi="TTE1D653F0t00" w:cs="TTE1D653F0t00"/>
          <w:sz w:val="23"/>
          <w:szCs w:val="23"/>
        </w:rPr>
        <w:t>sión establecida en el punto 5.1 de las presentes Bases, éstas serán evaluadas por una Comisión conformada especialmente para estos efectos, y designada de acuerdo a lo establecido en el punto 5, letra a) de la resolución Nº 277 de fecha 30 de Diciembre de</w:t>
      </w:r>
      <w:r>
        <w:rPr>
          <w:rFonts w:ascii="TTE1D653F0t00" w:hAnsi="TTE1D653F0t00" w:cs="TTE1D653F0t00"/>
          <w:sz w:val="23"/>
          <w:szCs w:val="23"/>
        </w:rPr>
        <w:t xml:space="preserve"> 2011, de la Subsecretaría de Desarrollo Regional y Administrativo. </w:t>
      </w:r>
    </w:p>
    <w:p w:rsidR="00000000" w:rsidRDefault="001245BD">
      <w:pPr>
        <w:pStyle w:val="CM18"/>
        <w:ind w:left="692"/>
        <w:rPr>
          <w:rFonts w:cs="TTE23EEF90t00"/>
          <w:sz w:val="23"/>
          <w:szCs w:val="23"/>
        </w:rPr>
      </w:pPr>
      <w:r>
        <w:rPr>
          <w:rFonts w:cs="TTE23EEF90t00"/>
          <w:sz w:val="23"/>
          <w:szCs w:val="23"/>
        </w:rPr>
        <w:t xml:space="preserve">Miembros de la Comisión </w:t>
      </w:r>
    </w:p>
    <w:p w:rsidR="00000000" w:rsidRDefault="001245BD">
      <w:pPr>
        <w:pStyle w:val="CM18"/>
        <w:ind w:left="692"/>
        <w:rPr>
          <w:rFonts w:ascii="TTE1D653F0t00" w:hAnsi="TTE1D653F0t00" w:cs="TTE1D653F0t00"/>
          <w:sz w:val="23"/>
          <w:szCs w:val="23"/>
        </w:rPr>
      </w:pPr>
      <w:r>
        <w:rPr>
          <w:rFonts w:ascii="TTE1D653F0t00" w:hAnsi="TTE1D653F0t00" w:cs="TTE1D653F0t00"/>
          <w:sz w:val="23"/>
          <w:szCs w:val="23"/>
        </w:rPr>
        <w:t xml:space="preserve">Conforme a lo resuelto por el Gobierno Regional, en la 8ª Sesión Ordinaria celebrada con </w:t>
      </w:r>
    </w:p>
    <w:p w:rsidR="00000000" w:rsidRDefault="001245BD">
      <w:pPr>
        <w:pStyle w:val="CM18"/>
        <w:ind w:left="692"/>
        <w:rPr>
          <w:rFonts w:ascii="TTE1D653F0t00" w:hAnsi="TTE1D653F0t00" w:cs="TTE1D653F0t00"/>
          <w:sz w:val="23"/>
          <w:szCs w:val="23"/>
        </w:rPr>
      </w:pPr>
      <w:r>
        <w:rPr>
          <w:rFonts w:ascii="TTE1D653F0t00" w:hAnsi="TTE1D653F0t00" w:cs="TTE1D653F0t00"/>
          <w:sz w:val="23"/>
          <w:szCs w:val="23"/>
        </w:rPr>
        <w:t>fecha 19 de Marzo de 2012, que aprueba la moción Nº 101, la Comisión Reg</w:t>
      </w:r>
      <w:r>
        <w:rPr>
          <w:rFonts w:ascii="TTE1D653F0t00" w:hAnsi="TTE1D653F0t00" w:cs="TTE1D653F0t00"/>
          <w:sz w:val="23"/>
          <w:szCs w:val="23"/>
        </w:rPr>
        <w:t xml:space="preserve">ional de </w:t>
      </w:r>
    </w:p>
    <w:p w:rsidR="00000000" w:rsidRDefault="001245BD">
      <w:pPr>
        <w:pStyle w:val="CM37"/>
        <w:spacing w:after="277" w:line="291" w:lineRule="atLeast"/>
        <w:ind w:left="692"/>
        <w:rPr>
          <w:rFonts w:ascii="TTE1D653F0t00" w:hAnsi="TTE1D653F0t00" w:cs="TTE1D653F0t00"/>
          <w:sz w:val="23"/>
          <w:szCs w:val="23"/>
        </w:rPr>
      </w:pPr>
      <w:r>
        <w:rPr>
          <w:rFonts w:ascii="TTE1D653F0t00" w:hAnsi="TTE1D653F0t00" w:cs="TTE1D653F0t00"/>
          <w:sz w:val="23"/>
          <w:szCs w:val="23"/>
        </w:rPr>
        <w:t xml:space="preserve">Evaluación estará integrada por: </w:t>
      </w:r>
    </w:p>
    <w:p w:rsidR="00000000" w:rsidRDefault="001245BD">
      <w:pPr>
        <w:pStyle w:val="CM37"/>
        <w:spacing w:after="277" w:line="291" w:lineRule="atLeast"/>
        <w:ind w:left="692"/>
        <w:rPr>
          <w:rFonts w:ascii="TTE1D653F0t00" w:hAnsi="TTE1D653F0t00" w:cs="TTE1D653F0t00"/>
          <w:sz w:val="23"/>
          <w:szCs w:val="23"/>
        </w:rPr>
      </w:pPr>
      <w:r>
        <w:rPr>
          <w:rFonts w:ascii="TTE1D653F0t00" w:hAnsi="TTE1D653F0t00" w:cs="TTE1D653F0t00"/>
          <w:sz w:val="23"/>
          <w:szCs w:val="23"/>
        </w:rPr>
        <w:t xml:space="preserve">Representantes del Sector Empresarial </w:t>
      </w:r>
      <w:r>
        <w:rPr>
          <w:rFonts w:ascii="TTE1724700t00" w:hAnsi="TTE1724700t00" w:cs="TTE1724700t00"/>
          <w:sz w:val="23"/>
          <w:szCs w:val="23"/>
        </w:rPr>
        <w:softHyphen/>
      </w:r>
      <w:r>
        <w:rPr>
          <w:rFonts w:ascii="TTE1D653F0t00" w:hAnsi="TTE1D653F0t00" w:cs="TTE1D653F0t00"/>
          <w:sz w:val="23"/>
          <w:szCs w:val="23"/>
        </w:rPr>
        <w:t xml:space="preserve">Representante de la Corporación de desarrollo Turístico de la Patagonia </w:t>
      </w:r>
      <w:r>
        <w:rPr>
          <w:rFonts w:ascii="TTE1724700t00" w:hAnsi="TTE1724700t00" w:cs="TTE1724700t00"/>
          <w:sz w:val="23"/>
          <w:szCs w:val="23"/>
        </w:rPr>
        <w:softHyphen/>
      </w:r>
      <w:r>
        <w:rPr>
          <w:rFonts w:ascii="TTE1D653F0t00" w:hAnsi="TTE1D653F0t00" w:cs="TTE1D653F0t00"/>
          <w:sz w:val="23"/>
          <w:szCs w:val="23"/>
        </w:rPr>
        <w:t xml:space="preserve">Representante de la Asociación Gremial de Industriales y Comerciantes AGIA </w:t>
      </w:r>
    </w:p>
    <w:p w:rsidR="00000000" w:rsidRDefault="001245BD">
      <w:pPr>
        <w:pStyle w:val="CM18"/>
        <w:ind w:left="692"/>
        <w:rPr>
          <w:rFonts w:ascii="TTE1D653F0t00" w:hAnsi="TTE1D653F0t00" w:cs="TTE1D653F0t00"/>
          <w:sz w:val="23"/>
          <w:szCs w:val="23"/>
        </w:rPr>
      </w:pPr>
      <w:r>
        <w:rPr>
          <w:rFonts w:ascii="TTE1D653F0t00" w:hAnsi="TTE1D653F0t00" w:cs="TTE1D653F0t00"/>
          <w:sz w:val="23"/>
          <w:szCs w:val="23"/>
        </w:rPr>
        <w:t>Representantes de las Ag</w:t>
      </w:r>
      <w:r>
        <w:rPr>
          <w:rFonts w:ascii="TTE1D653F0t00" w:hAnsi="TTE1D653F0t00" w:cs="TTE1D653F0t00"/>
          <w:sz w:val="23"/>
          <w:szCs w:val="23"/>
        </w:rPr>
        <w:t xml:space="preserve">encias Ejecutoras </w:t>
      </w:r>
      <w:r>
        <w:rPr>
          <w:rFonts w:ascii="TTE1724700t00" w:hAnsi="TTE1724700t00" w:cs="TTE1724700t00"/>
          <w:sz w:val="23"/>
          <w:szCs w:val="23"/>
        </w:rPr>
        <w:softHyphen/>
      </w:r>
      <w:r>
        <w:rPr>
          <w:rFonts w:ascii="TTE1D653F0t00" w:hAnsi="TTE1D653F0t00" w:cs="TTE1D653F0t00"/>
          <w:sz w:val="23"/>
          <w:szCs w:val="23"/>
        </w:rPr>
        <w:t xml:space="preserve">Representante de la Comisión Nacional de Investigación Científica y Tecnológica CONICYT </w:t>
      </w:r>
      <w:r>
        <w:rPr>
          <w:rFonts w:ascii="TTE1724700t00" w:hAnsi="TTE1724700t00" w:cs="TTE1724700t00"/>
          <w:sz w:val="23"/>
          <w:szCs w:val="23"/>
        </w:rPr>
        <w:softHyphen/>
      </w:r>
      <w:r>
        <w:rPr>
          <w:rFonts w:ascii="TTE1D653F0t00" w:hAnsi="TTE1D653F0t00" w:cs="TTE1D653F0t00"/>
          <w:sz w:val="23"/>
          <w:szCs w:val="23"/>
        </w:rPr>
        <w:t>Representante de la Corporación de Fomento de la Producción CORFO o comité Innova-</w:t>
      </w:r>
    </w:p>
    <w:p w:rsidR="00000000" w:rsidRDefault="001245BD">
      <w:pPr>
        <w:pStyle w:val="CM37"/>
        <w:spacing w:after="277" w:line="300" w:lineRule="atLeast"/>
        <w:ind w:left="1040"/>
        <w:rPr>
          <w:rFonts w:ascii="TTE1D653F0t00" w:hAnsi="TTE1D653F0t00" w:cs="TTE1D653F0t00"/>
          <w:sz w:val="23"/>
          <w:szCs w:val="23"/>
        </w:rPr>
      </w:pPr>
      <w:r>
        <w:rPr>
          <w:rFonts w:ascii="TTE1D653F0t00" w:hAnsi="TTE1D653F0t00" w:cs="TTE1D653F0t00"/>
          <w:sz w:val="23"/>
          <w:szCs w:val="23"/>
        </w:rPr>
        <w:t xml:space="preserve">Corfo </w:t>
      </w:r>
    </w:p>
    <w:p w:rsidR="00000000" w:rsidRDefault="001245BD">
      <w:pPr>
        <w:pStyle w:val="CM18"/>
        <w:ind w:left="692"/>
        <w:rPr>
          <w:rFonts w:ascii="TTE1D653F0t00" w:hAnsi="TTE1D653F0t00" w:cs="TTE1D653F0t00"/>
          <w:sz w:val="23"/>
          <w:szCs w:val="23"/>
        </w:rPr>
      </w:pPr>
      <w:r>
        <w:rPr>
          <w:rFonts w:ascii="TTE1D653F0t00" w:hAnsi="TTE1D653F0t00" w:cs="TTE1D653F0t00"/>
          <w:sz w:val="23"/>
          <w:szCs w:val="23"/>
        </w:rPr>
        <w:t>Representantes del Servicio Administrativo del Gobierno Re</w:t>
      </w:r>
      <w:r>
        <w:rPr>
          <w:rFonts w:ascii="TTE1D653F0t00" w:hAnsi="TTE1D653F0t00" w:cs="TTE1D653F0t00"/>
          <w:sz w:val="23"/>
          <w:szCs w:val="23"/>
        </w:rPr>
        <w:t xml:space="preserve">gional </w:t>
      </w:r>
      <w:r>
        <w:rPr>
          <w:rFonts w:ascii="TTE1724700t00" w:hAnsi="TTE1724700t00" w:cs="TTE1724700t00"/>
          <w:sz w:val="23"/>
          <w:szCs w:val="23"/>
        </w:rPr>
        <w:softHyphen/>
      </w:r>
      <w:r>
        <w:rPr>
          <w:rFonts w:ascii="TTE1D653F0t00" w:hAnsi="TTE1D653F0t00" w:cs="TTE1D653F0t00"/>
          <w:sz w:val="23"/>
          <w:szCs w:val="23"/>
        </w:rPr>
        <w:t xml:space="preserve">Jefe de Unidad de Desarrollo Regional </w:t>
      </w:r>
      <w:r>
        <w:rPr>
          <w:rFonts w:ascii="TTE1724700t00" w:hAnsi="TTE1724700t00" w:cs="TTE1724700t00"/>
          <w:sz w:val="23"/>
          <w:szCs w:val="23"/>
        </w:rPr>
        <w:softHyphen/>
      </w:r>
      <w:r>
        <w:rPr>
          <w:rFonts w:ascii="TTE1D653F0t00" w:hAnsi="TTE1D653F0t00" w:cs="TTE1D653F0t00"/>
          <w:sz w:val="23"/>
          <w:szCs w:val="23"/>
        </w:rPr>
        <w:t xml:space="preserve">Jefe de División de Análisis y Control de Gestión </w:t>
      </w:r>
    </w:p>
    <w:p w:rsidR="00000000" w:rsidRDefault="007433DA">
      <w:pPr>
        <w:pStyle w:val="Default"/>
        <w:pageBreakBefore/>
        <w:framePr w:w="1488" w:wrap="auto" w:vAnchor="page" w:hAnchor="page" w:x="1683" w:y="1404"/>
        <w:spacing w:after="520"/>
        <w:rPr>
          <w:rFonts w:ascii="TTE1D653F0t00" w:hAnsi="TTE1D653F0t00" w:cs="TTE1D653F0t00"/>
          <w:color w:val="auto"/>
          <w:sz w:val="23"/>
          <w:szCs w:val="23"/>
        </w:rPr>
      </w:pPr>
      <w:r>
        <w:rPr>
          <w:rFonts w:ascii="TTE1D653F0t00" w:hAnsi="TTE1D653F0t00" w:cs="TTE1D653F0t00"/>
          <w:noProof/>
          <w:color w:val="auto"/>
          <w:sz w:val="23"/>
          <w:szCs w:val="23"/>
        </w:rPr>
        <w:lastRenderedPageBreak/>
        <w:drawing>
          <wp:inline distT="0" distB="0" distL="0" distR="0">
            <wp:extent cx="447675" cy="5619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line="293" w:lineRule="atLeast"/>
        <w:rPr>
          <w:rFonts w:ascii="TTE1D653F0t00" w:hAnsi="TTE1D653F0t00" w:cs="TTE1D653F0t00"/>
          <w:sz w:val="23"/>
          <w:szCs w:val="23"/>
        </w:rPr>
      </w:pPr>
      <w:r>
        <w:rPr>
          <w:rFonts w:ascii="TTE1D653F0t00" w:hAnsi="TTE1D653F0t00" w:cs="TTE1D653F0t00"/>
          <w:sz w:val="23"/>
          <w:szCs w:val="23"/>
        </w:rPr>
        <w:t>La comisión podrá invitar, con derecho a voz y sin voto, al proceso de evaluación té</w:t>
      </w:r>
      <w:r>
        <w:rPr>
          <w:rFonts w:ascii="TTE1D653F0t00" w:hAnsi="TTE1D653F0t00" w:cs="TTE1D653F0t00"/>
          <w:sz w:val="23"/>
          <w:szCs w:val="23"/>
        </w:rPr>
        <w:t xml:space="preserve">cnica a informantes calificados, provenientes de la región o fuera de ésta, para que aporten conocimiento relevante en aquellas áreas específicas o de especialización a ser evaluadas, y que se tenga un escaso conocimiento regional o competencia directa. </w:t>
      </w:r>
    </w:p>
    <w:p w:rsidR="00000000" w:rsidRDefault="001245BD">
      <w:pPr>
        <w:pStyle w:val="CM37"/>
        <w:spacing w:after="277" w:line="293" w:lineRule="atLeast"/>
        <w:rPr>
          <w:rFonts w:cs="TTE23EEF90t00"/>
          <w:sz w:val="23"/>
          <w:szCs w:val="23"/>
        </w:rPr>
      </w:pPr>
      <w:r>
        <w:rPr>
          <w:rFonts w:cs="TTE23EEF90t00"/>
          <w:sz w:val="23"/>
          <w:szCs w:val="23"/>
        </w:rPr>
        <w:t>R</w:t>
      </w:r>
      <w:r>
        <w:rPr>
          <w:rFonts w:cs="TTE23EEF90t00"/>
          <w:sz w:val="23"/>
          <w:szCs w:val="23"/>
        </w:rPr>
        <w:t xml:space="preserve">equisitos para ser miembros de la Comisión: </w:t>
      </w:r>
    </w:p>
    <w:p w:rsidR="00000000" w:rsidRDefault="001245BD">
      <w:pPr>
        <w:pStyle w:val="CM19"/>
        <w:rPr>
          <w:rFonts w:ascii="TTE1D653F0t00" w:hAnsi="TTE1D653F0t00" w:cs="TTE1D653F0t00"/>
          <w:sz w:val="23"/>
          <w:szCs w:val="23"/>
        </w:rPr>
      </w:pPr>
      <w:r>
        <w:rPr>
          <w:rFonts w:ascii="TTE1724700t00" w:hAnsi="TTE1724700t00" w:cs="TTE1724700t00"/>
          <w:sz w:val="23"/>
          <w:szCs w:val="23"/>
        </w:rPr>
        <w:softHyphen/>
      </w:r>
      <w:r>
        <w:rPr>
          <w:rFonts w:ascii="TTE1D653F0t00" w:hAnsi="TTE1D653F0t00" w:cs="TTE1D653F0t00"/>
          <w:sz w:val="23"/>
          <w:szCs w:val="23"/>
        </w:rPr>
        <w:t xml:space="preserve">No tener vinculación contractual con ninguna con universidades o centros que </w:t>
      </w:r>
    </w:p>
    <w:p w:rsidR="00000000" w:rsidRDefault="001245BD">
      <w:pPr>
        <w:pStyle w:val="CM37"/>
        <w:spacing w:after="277" w:line="298" w:lineRule="atLeast"/>
        <w:ind w:firstLine="350"/>
        <w:rPr>
          <w:rFonts w:ascii="TTE1D653F0t00" w:hAnsi="TTE1D653F0t00" w:cs="TTE1D653F0t00"/>
          <w:sz w:val="23"/>
          <w:szCs w:val="23"/>
        </w:rPr>
      </w:pPr>
      <w:r>
        <w:rPr>
          <w:rFonts w:ascii="TTE1D653F0t00" w:hAnsi="TTE1D653F0t00" w:cs="TTE1D653F0t00"/>
          <w:sz w:val="23"/>
          <w:szCs w:val="23"/>
        </w:rPr>
        <w:t xml:space="preserve">postulan. </w:t>
      </w:r>
      <w:r>
        <w:rPr>
          <w:rFonts w:ascii="TTE1724700t00" w:hAnsi="TTE1724700t00" w:cs="TTE1724700t00"/>
          <w:sz w:val="23"/>
          <w:szCs w:val="23"/>
        </w:rPr>
        <w:softHyphen/>
      </w:r>
      <w:r>
        <w:rPr>
          <w:rFonts w:ascii="TTE1D653F0t00" w:hAnsi="TTE1D653F0t00" w:cs="TTE1D653F0t00"/>
          <w:sz w:val="23"/>
          <w:szCs w:val="23"/>
        </w:rPr>
        <w:t xml:space="preserve">Contar con experiencia en la materia que se evalúa. </w:t>
      </w:r>
      <w:r>
        <w:rPr>
          <w:rFonts w:ascii="TTE1724700t00" w:hAnsi="TTE1724700t00" w:cs="TTE1724700t00"/>
          <w:sz w:val="23"/>
          <w:szCs w:val="23"/>
        </w:rPr>
        <w:softHyphen/>
      </w:r>
      <w:r>
        <w:rPr>
          <w:rFonts w:ascii="TTE1D653F0t00" w:hAnsi="TTE1D653F0t00" w:cs="TTE1D653F0t00"/>
          <w:sz w:val="23"/>
          <w:szCs w:val="23"/>
        </w:rPr>
        <w:t xml:space="preserve">No tener problemas o litigios judiciales. </w:t>
      </w:r>
    </w:p>
    <w:p w:rsidR="00000000" w:rsidRDefault="001245BD">
      <w:pPr>
        <w:pStyle w:val="CM37"/>
        <w:spacing w:after="277" w:line="293" w:lineRule="atLeast"/>
        <w:rPr>
          <w:rFonts w:cs="TTE23EEF90t00"/>
          <w:sz w:val="23"/>
          <w:szCs w:val="23"/>
        </w:rPr>
      </w:pPr>
      <w:r>
        <w:rPr>
          <w:rFonts w:cs="TTE23EEF90t00"/>
          <w:sz w:val="23"/>
          <w:szCs w:val="23"/>
        </w:rPr>
        <w:t>Función de la comisió</w:t>
      </w:r>
      <w:r>
        <w:rPr>
          <w:rFonts w:cs="TTE23EEF90t00"/>
          <w:sz w:val="23"/>
          <w:szCs w:val="23"/>
        </w:rPr>
        <w:t xml:space="preserve">n y registro de acta </w:t>
      </w:r>
    </w:p>
    <w:p w:rsidR="00000000" w:rsidRDefault="001245BD">
      <w:pPr>
        <w:pStyle w:val="CM19"/>
        <w:rPr>
          <w:rFonts w:ascii="TTE1D653F0t00" w:hAnsi="TTE1D653F0t00" w:cs="TTE1D653F0t00"/>
          <w:sz w:val="23"/>
          <w:szCs w:val="23"/>
        </w:rPr>
      </w:pPr>
      <w:r>
        <w:rPr>
          <w:rFonts w:ascii="TTE1D653F0t00" w:hAnsi="TTE1D653F0t00" w:cs="TTE1D653F0t00"/>
          <w:sz w:val="23"/>
          <w:szCs w:val="23"/>
        </w:rPr>
        <w:t>La Comisión Evaluadora entregará los resultados de la recomendación o evaluación técnica de las iniciativas que concursan para ser resueltas finalmente por el Consejo Regional. La Comisión dejará registro de la evaluación realizada en</w:t>
      </w:r>
      <w:r>
        <w:rPr>
          <w:rFonts w:ascii="TTE1D653F0t00" w:hAnsi="TTE1D653F0t00" w:cs="TTE1D653F0t00"/>
          <w:sz w:val="23"/>
          <w:szCs w:val="23"/>
        </w:rPr>
        <w:t xml:space="preserve"> un Acta rubricada que será remitida a la Unidad de Desarrollo Regional, la cual a su vez la remitirá al Intendente Regional vía oficio indicando: </w:t>
      </w:r>
      <w:r>
        <w:rPr>
          <w:rFonts w:ascii="TTE1724700t00" w:hAnsi="TTE1724700t00" w:cs="TTE1724700t00"/>
          <w:sz w:val="23"/>
          <w:szCs w:val="23"/>
        </w:rPr>
        <w:softHyphen/>
      </w:r>
      <w:r>
        <w:rPr>
          <w:rFonts w:ascii="TTE1D653F0t00" w:hAnsi="TTE1D653F0t00" w:cs="TTE1D653F0t00"/>
          <w:sz w:val="23"/>
          <w:szCs w:val="23"/>
        </w:rPr>
        <w:t xml:space="preserve">Nº de folio, institución, </w:t>
      </w:r>
      <w:r>
        <w:rPr>
          <w:rFonts w:ascii="TTE1724700t00" w:hAnsi="TTE1724700t00" w:cs="TTE1724700t00"/>
          <w:sz w:val="23"/>
          <w:szCs w:val="23"/>
        </w:rPr>
        <w:softHyphen/>
      </w:r>
      <w:r>
        <w:rPr>
          <w:rFonts w:ascii="TTE1D653F0t00" w:hAnsi="TTE1D653F0t00" w:cs="TTE1D653F0t00"/>
          <w:sz w:val="23"/>
          <w:szCs w:val="23"/>
        </w:rPr>
        <w:t xml:space="preserve">Nombre del proyecto, </w:t>
      </w:r>
      <w:r>
        <w:rPr>
          <w:rFonts w:ascii="TTE1724700t00" w:hAnsi="TTE1724700t00" w:cs="TTE1724700t00"/>
          <w:sz w:val="23"/>
          <w:szCs w:val="23"/>
        </w:rPr>
        <w:softHyphen/>
      </w:r>
      <w:r>
        <w:rPr>
          <w:rFonts w:ascii="TTE1D653F0t00" w:hAnsi="TTE1D653F0t00" w:cs="TTE1D653F0t00"/>
          <w:sz w:val="23"/>
          <w:szCs w:val="23"/>
        </w:rPr>
        <w:t xml:space="preserve">Monto solicitado al Programa FIC Regional2012, </w:t>
      </w:r>
      <w:r>
        <w:rPr>
          <w:rFonts w:ascii="TTE1724700t00" w:hAnsi="TTE1724700t00" w:cs="TTE1724700t00"/>
          <w:sz w:val="23"/>
          <w:szCs w:val="23"/>
        </w:rPr>
        <w:softHyphen/>
      </w:r>
      <w:r>
        <w:rPr>
          <w:rFonts w:ascii="TTE1D653F0t00" w:hAnsi="TTE1D653F0t00" w:cs="TTE1D653F0t00"/>
          <w:sz w:val="23"/>
          <w:szCs w:val="23"/>
        </w:rPr>
        <w:t>Aporte ejec</w:t>
      </w:r>
      <w:r>
        <w:rPr>
          <w:rFonts w:ascii="TTE1D653F0t00" w:hAnsi="TTE1D653F0t00" w:cs="TTE1D653F0t00"/>
          <w:sz w:val="23"/>
          <w:szCs w:val="23"/>
        </w:rPr>
        <w:t xml:space="preserve">utor si lo hubiere, </w:t>
      </w:r>
      <w:r>
        <w:rPr>
          <w:rFonts w:ascii="TTE1724700t00" w:hAnsi="TTE1724700t00" w:cs="TTE1724700t00"/>
          <w:sz w:val="23"/>
          <w:szCs w:val="23"/>
        </w:rPr>
        <w:softHyphen/>
      </w:r>
      <w:r>
        <w:rPr>
          <w:rFonts w:ascii="TTE1D653F0t00" w:hAnsi="TTE1D653F0t00" w:cs="TTE1D653F0t00"/>
          <w:sz w:val="23"/>
          <w:szCs w:val="23"/>
        </w:rPr>
        <w:t xml:space="preserve">Aportes de terceros si lo hubiere, </w:t>
      </w:r>
      <w:r>
        <w:rPr>
          <w:rFonts w:ascii="TTE1724700t00" w:hAnsi="TTE1724700t00" w:cs="TTE1724700t00"/>
          <w:sz w:val="23"/>
          <w:szCs w:val="23"/>
        </w:rPr>
        <w:softHyphen/>
      </w:r>
      <w:r>
        <w:rPr>
          <w:rFonts w:ascii="TTE1D653F0t00" w:hAnsi="TTE1D653F0t00" w:cs="TTE1D653F0t00"/>
          <w:sz w:val="23"/>
          <w:szCs w:val="23"/>
        </w:rPr>
        <w:t xml:space="preserve">Monto total, porcentaje del aporte ejecutor y tercero en relación al monto total, </w:t>
      </w:r>
      <w:r>
        <w:rPr>
          <w:rFonts w:ascii="TTE1724700t00" w:hAnsi="TTE1724700t00" w:cs="TTE1724700t00"/>
          <w:sz w:val="23"/>
          <w:szCs w:val="23"/>
        </w:rPr>
        <w:softHyphen/>
      </w:r>
      <w:r>
        <w:rPr>
          <w:rFonts w:ascii="TTE1D653F0t00" w:hAnsi="TTE1D653F0t00" w:cs="TTE1D653F0t00"/>
          <w:sz w:val="23"/>
          <w:szCs w:val="23"/>
        </w:rPr>
        <w:t xml:space="preserve">Sector empresarial y/o productivo que abarca, </w:t>
      </w:r>
      <w:r>
        <w:rPr>
          <w:rFonts w:ascii="TTE1724700t00" w:hAnsi="TTE1724700t00" w:cs="TTE1724700t00"/>
          <w:sz w:val="23"/>
          <w:szCs w:val="23"/>
        </w:rPr>
        <w:softHyphen/>
      </w:r>
      <w:r>
        <w:rPr>
          <w:rFonts w:ascii="TTE1D653F0t00" w:hAnsi="TTE1D653F0t00" w:cs="TTE1D653F0t00"/>
          <w:sz w:val="23"/>
          <w:szCs w:val="23"/>
        </w:rPr>
        <w:t>Acta con Informe de Evaluación de la Comisión firmado por cada evalua</w:t>
      </w:r>
      <w:r>
        <w:rPr>
          <w:rFonts w:ascii="TTE1D653F0t00" w:hAnsi="TTE1D653F0t00" w:cs="TTE1D653F0t00"/>
          <w:sz w:val="23"/>
          <w:szCs w:val="23"/>
        </w:rPr>
        <w:t xml:space="preserve">dor, el cual </w:t>
      </w:r>
    </w:p>
    <w:p w:rsidR="00000000" w:rsidRDefault="001245BD">
      <w:pPr>
        <w:pStyle w:val="CM41"/>
        <w:spacing w:after="330" w:line="291" w:lineRule="atLeast"/>
        <w:rPr>
          <w:rFonts w:ascii="TTE1D653F0t00" w:hAnsi="TTE1D653F0t00" w:cs="TTE1D653F0t00"/>
          <w:sz w:val="23"/>
          <w:szCs w:val="23"/>
        </w:rPr>
      </w:pPr>
      <w:r>
        <w:rPr>
          <w:rFonts w:ascii="TTE1D653F0t00" w:hAnsi="TTE1D653F0t00" w:cs="TTE1D653F0t00"/>
          <w:sz w:val="23"/>
          <w:szCs w:val="23"/>
        </w:rPr>
        <w:t xml:space="preserve">contendrá los criterios establecidos en el punto 4.2 de las presentes bases, con su debido puntaje, </w:t>
      </w:r>
      <w:r>
        <w:rPr>
          <w:rFonts w:ascii="TTE1724700t00" w:hAnsi="TTE1724700t00" w:cs="TTE1724700t00"/>
          <w:sz w:val="23"/>
          <w:szCs w:val="23"/>
        </w:rPr>
        <w:softHyphen/>
      </w:r>
      <w:r>
        <w:rPr>
          <w:rFonts w:ascii="TTE1D653F0t00" w:hAnsi="TTE1D653F0t00" w:cs="TTE1D653F0t00"/>
          <w:sz w:val="23"/>
          <w:szCs w:val="23"/>
        </w:rPr>
        <w:t xml:space="preserve">Responsable del proyecto y datos de identificación general (nombre, institución, Rut, fono, dirección, email). </w:t>
      </w:r>
    </w:p>
    <w:p w:rsidR="00000000" w:rsidRDefault="001245BD">
      <w:pPr>
        <w:pStyle w:val="CM37"/>
        <w:spacing w:after="277" w:line="293" w:lineRule="atLeast"/>
        <w:rPr>
          <w:rFonts w:ascii="TTE1D653F0t00" w:hAnsi="TTE1D653F0t00" w:cs="TTE1D653F0t00"/>
          <w:sz w:val="23"/>
          <w:szCs w:val="23"/>
        </w:rPr>
      </w:pPr>
      <w:r>
        <w:rPr>
          <w:rFonts w:ascii="TTE1D653F0t00" w:hAnsi="TTE1D653F0t00" w:cs="TTE1D653F0t00"/>
          <w:sz w:val="23"/>
          <w:szCs w:val="23"/>
        </w:rPr>
        <w:t>La Comisión Evaluadora impond</w:t>
      </w:r>
      <w:r>
        <w:rPr>
          <w:rFonts w:ascii="TTE1D653F0t00" w:hAnsi="TTE1D653F0t00" w:cs="TTE1D653F0t00"/>
          <w:sz w:val="23"/>
          <w:szCs w:val="23"/>
        </w:rPr>
        <w:t>rá penalizaciones de 30 puntos en caso de detectarse copia o transcripción literal de algún párrafo completo del proyecto en la descripción o contenidos, cotejado con proyectos aprobados y financiados por el FIC de años anteriores o del mismo proceso concu</w:t>
      </w:r>
      <w:r>
        <w:rPr>
          <w:rFonts w:ascii="TTE1D653F0t00" w:hAnsi="TTE1D653F0t00" w:cs="TTE1D653F0t00"/>
          <w:sz w:val="23"/>
          <w:szCs w:val="23"/>
        </w:rPr>
        <w:t xml:space="preserve">rsal. </w:t>
      </w:r>
    </w:p>
    <w:p w:rsidR="00000000" w:rsidRDefault="001245BD">
      <w:pPr>
        <w:pStyle w:val="CM19"/>
        <w:rPr>
          <w:rFonts w:ascii="TTE1D653F0t00" w:hAnsi="TTE1D653F0t00" w:cs="TTE1D653F0t00"/>
          <w:sz w:val="23"/>
          <w:szCs w:val="23"/>
        </w:rPr>
      </w:pPr>
      <w:r>
        <w:rPr>
          <w:rFonts w:ascii="TTE1D653F0t00" w:hAnsi="TTE1D653F0t00" w:cs="TTE1D653F0t00"/>
          <w:sz w:val="23"/>
          <w:szCs w:val="23"/>
        </w:rPr>
        <w:t xml:space="preserve">La Comisión Evaluadora velará para que exista un tope máximo de tres proyectos patrocinados por un mismo científico responsable. </w:t>
      </w:r>
    </w:p>
    <w:p w:rsidR="00000000" w:rsidRDefault="007433DA">
      <w:pPr>
        <w:pStyle w:val="Default"/>
        <w:pageBreakBefore/>
        <w:framePr w:w="1488" w:wrap="auto" w:vAnchor="page" w:hAnchor="page" w:x="1683" w:y="1404"/>
        <w:spacing w:after="240"/>
        <w:rPr>
          <w:rFonts w:ascii="TTE1D653F0t00" w:hAnsi="TTE1D653F0t00" w:cs="TTE1D653F0t00"/>
          <w:color w:val="auto"/>
          <w:sz w:val="23"/>
          <w:szCs w:val="23"/>
        </w:rPr>
      </w:pPr>
      <w:r>
        <w:rPr>
          <w:rFonts w:ascii="TTE1D653F0t00" w:hAnsi="TTE1D653F0t00" w:cs="TTE1D653F0t00"/>
          <w:noProof/>
          <w:color w:val="auto"/>
          <w:sz w:val="23"/>
          <w:szCs w:val="23"/>
        </w:rPr>
        <w:lastRenderedPageBreak/>
        <w:drawing>
          <wp:inline distT="0" distB="0" distL="0" distR="0">
            <wp:extent cx="447675" cy="5619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line="288" w:lineRule="atLeast"/>
        <w:jc w:val="both"/>
        <w:rPr>
          <w:rFonts w:cs="TTE23EEF90t00"/>
          <w:sz w:val="23"/>
          <w:szCs w:val="23"/>
        </w:rPr>
      </w:pPr>
      <w:r>
        <w:rPr>
          <w:rFonts w:cs="TTE23EEF90t00"/>
          <w:sz w:val="23"/>
          <w:szCs w:val="23"/>
        </w:rPr>
        <w:t xml:space="preserve">6. RESULTADOS </w:t>
      </w:r>
    </w:p>
    <w:p w:rsidR="00000000" w:rsidRDefault="001245BD">
      <w:pPr>
        <w:pStyle w:val="CM40"/>
        <w:spacing w:after="565" w:line="286" w:lineRule="atLeast"/>
        <w:ind w:left="417"/>
        <w:jc w:val="both"/>
        <w:rPr>
          <w:rFonts w:ascii="TTE1D653F0t00" w:hAnsi="TTE1D653F0t00" w:cs="TTE1D653F0t00"/>
          <w:color w:val="000000"/>
          <w:sz w:val="23"/>
          <w:szCs w:val="23"/>
        </w:rPr>
      </w:pPr>
      <w:r>
        <w:rPr>
          <w:rFonts w:ascii="TTE1D653F0t00" w:hAnsi="TTE1D653F0t00" w:cs="TTE1D653F0t00"/>
          <w:sz w:val="23"/>
          <w:szCs w:val="23"/>
        </w:rPr>
        <w:t>Los resultados del proceso será</w:t>
      </w:r>
      <w:r>
        <w:rPr>
          <w:rFonts w:ascii="TTE1D653F0t00" w:hAnsi="TTE1D653F0t00" w:cs="TTE1D653F0t00"/>
          <w:sz w:val="23"/>
          <w:szCs w:val="23"/>
        </w:rPr>
        <w:t xml:space="preserve">n comunicados a los seleccionados por medio de correo electrónico dirigidos a las direcciones señaladas en su postulación, además serán publicados en la página web </w:t>
      </w:r>
      <w:r>
        <w:rPr>
          <w:rFonts w:ascii="TTE1D653F0t00" w:hAnsi="TTE1D653F0t00" w:cs="TTE1D653F0t00"/>
          <w:color w:val="0000FF"/>
          <w:sz w:val="23"/>
          <w:szCs w:val="23"/>
          <w:u w:val="single"/>
        </w:rPr>
        <w:t>www.goremagallanes.cl</w:t>
      </w:r>
      <w:r>
        <w:rPr>
          <w:rFonts w:ascii="TTE1D653F0t00" w:hAnsi="TTE1D653F0t00" w:cs="TTE1D653F0t00"/>
          <w:color w:val="000000"/>
          <w:sz w:val="23"/>
          <w:szCs w:val="23"/>
        </w:rPr>
        <w:t xml:space="preserve">el día 13 de Julio de 2012. </w:t>
      </w:r>
    </w:p>
    <w:p w:rsidR="00000000" w:rsidRDefault="001245BD">
      <w:pPr>
        <w:pStyle w:val="CM37"/>
        <w:spacing w:after="277" w:line="288" w:lineRule="atLeast"/>
        <w:jc w:val="both"/>
        <w:rPr>
          <w:rFonts w:cs="TTE23EEF90t00"/>
          <w:color w:val="000000"/>
          <w:sz w:val="23"/>
          <w:szCs w:val="23"/>
        </w:rPr>
      </w:pPr>
      <w:r>
        <w:rPr>
          <w:rFonts w:cs="TTE23EEF90t00"/>
          <w:color w:val="000000"/>
          <w:sz w:val="23"/>
          <w:szCs w:val="23"/>
        </w:rPr>
        <w:t xml:space="preserve">7. DENTIFICACION DE GASTOS AUTORIZADOS </w:t>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cs="TTE23EEF90t00"/>
          <w:color w:val="000000"/>
          <w:sz w:val="23"/>
          <w:szCs w:val="23"/>
        </w:rPr>
        <w:t>Ga</w:t>
      </w:r>
      <w:r>
        <w:rPr>
          <w:rFonts w:cs="TTE23EEF90t00"/>
          <w:color w:val="000000"/>
          <w:sz w:val="23"/>
          <w:szCs w:val="23"/>
        </w:rPr>
        <w:t xml:space="preserve">stos por Recursos Humanos: </w:t>
      </w:r>
      <w:r>
        <w:rPr>
          <w:rFonts w:ascii="TTE1D653F0t00" w:hAnsi="TTE1D653F0t00" w:cs="TTE1D653F0t00"/>
          <w:color w:val="000000"/>
          <w:sz w:val="23"/>
          <w:szCs w:val="23"/>
        </w:rPr>
        <w:t>Se consideran honorarios o incentivos para investigadores de la propia institución postulantes o la contratación de profesionales que no son parte de ella. Los montos deberán ser debidamente justificados, atendida la naturaleza d</w:t>
      </w:r>
      <w:r>
        <w:rPr>
          <w:rFonts w:ascii="TTE1D653F0t00" w:hAnsi="TTE1D653F0t00" w:cs="TTE1D653F0t00"/>
          <w:color w:val="000000"/>
          <w:sz w:val="23"/>
          <w:szCs w:val="23"/>
        </w:rPr>
        <w:t xml:space="preserve">e la iniciativa. </w:t>
      </w:r>
    </w:p>
    <w:p w:rsidR="00000000" w:rsidRDefault="001245BD">
      <w:pPr>
        <w:pStyle w:val="CM41"/>
        <w:spacing w:after="330" w:line="286" w:lineRule="atLeast"/>
        <w:ind w:left="417"/>
        <w:jc w:val="both"/>
        <w:rPr>
          <w:rFonts w:ascii="TTE1D653F0t00" w:hAnsi="TTE1D653F0t00" w:cs="TTE1D653F0t00"/>
          <w:color w:val="000000"/>
          <w:sz w:val="23"/>
          <w:szCs w:val="23"/>
        </w:rPr>
      </w:pPr>
      <w:r>
        <w:rPr>
          <w:rFonts w:cs="TTE23EEF90t00"/>
          <w:color w:val="000000"/>
          <w:sz w:val="23"/>
          <w:szCs w:val="23"/>
        </w:rPr>
        <w:t xml:space="preserve">Gastos de Operación: </w:t>
      </w:r>
      <w:r>
        <w:rPr>
          <w:rFonts w:ascii="TTE1D653F0t00" w:hAnsi="TTE1D653F0t00" w:cs="TTE1D653F0t00"/>
          <w:color w:val="000000"/>
          <w:sz w:val="23"/>
          <w:szCs w:val="23"/>
        </w:rPr>
        <w:t>Se consideran aquellos gastos en bienes y servicios que sean necesarios para la realización del proyecto y que terminan con la ejecución de la iniciativa. Estos pueden incluir gastos tales como: arriendo de equipos, a</w:t>
      </w:r>
      <w:r>
        <w:rPr>
          <w:rFonts w:ascii="TTE1D653F0t00" w:hAnsi="TTE1D653F0t00" w:cs="TTE1D653F0t00"/>
          <w:color w:val="000000"/>
          <w:sz w:val="23"/>
          <w:szCs w:val="23"/>
        </w:rPr>
        <w:t xml:space="preserve">lojamiento, alimentación, pasajes, fletes, material fungible y otros. El responsable del proyecto deberá desglosar estos gastos en el respectivo formulario. </w:t>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cs="TTE23EEF90t00"/>
          <w:color w:val="000000"/>
          <w:sz w:val="23"/>
          <w:szCs w:val="23"/>
        </w:rPr>
        <w:t xml:space="preserve">Gastos de Inversión (implementación y equipamiento): </w:t>
      </w:r>
      <w:r>
        <w:rPr>
          <w:rFonts w:ascii="TTE1D653F0t00" w:hAnsi="TTE1D653F0t00" w:cs="TTE1D653F0t00"/>
          <w:color w:val="000000"/>
          <w:sz w:val="23"/>
          <w:szCs w:val="23"/>
        </w:rPr>
        <w:t>Se consideran aquellos gastos en bienes y ser</w:t>
      </w:r>
      <w:r>
        <w:rPr>
          <w:rFonts w:ascii="TTE1D653F0t00" w:hAnsi="TTE1D653F0t00" w:cs="TTE1D653F0t00"/>
          <w:color w:val="000000"/>
          <w:sz w:val="23"/>
          <w:szCs w:val="23"/>
        </w:rPr>
        <w:t>vicios que subsisten después de terminada la ejecución del proyecto. Estos gastos se financiarán solamente en caso que resulten indispensable para desarrollar las actividades previstas en el proyecto. Todos los bienes adquiridos bajo esta categoría deben q</w:t>
      </w:r>
      <w:r>
        <w:rPr>
          <w:rFonts w:ascii="TTE1D653F0t00" w:hAnsi="TTE1D653F0t00" w:cs="TTE1D653F0t00"/>
          <w:color w:val="000000"/>
          <w:sz w:val="23"/>
          <w:szCs w:val="23"/>
        </w:rPr>
        <w:t xml:space="preserve">uedar a disposición y bajo dominio de la institución postulante. </w:t>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cs="TTE23EEF90t00"/>
          <w:color w:val="000000"/>
          <w:sz w:val="23"/>
          <w:szCs w:val="23"/>
        </w:rPr>
        <w:t xml:space="preserve">Gastos de Difusión: </w:t>
      </w:r>
      <w:r>
        <w:rPr>
          <w:rFonts w:ascii="TTE1D653F0t00" w:hAnsi="TTE1D653F0t00" w:cs="TTE1D653F0t00"/>
          <w:color w:val="000000"/>
          <w:sz w:val="23"/>
          <w:szCs w:val="23"/>
        </w:rPr>
        <w:t>La entidad beneficiaria deberá considerar en el presupuesto total de la iniciativa, recursos para actividades de promoción o difusión del proyecto. Este ítem no podrá sup</w:t>
      </w:r>
      <w:r>
        <w:rPr>
          <w:rFonts w:ascii="TTE1D653F0t00" w:hAnsi="TTE1D653F0t00" w:cs="TTE1D653F0t00"/>
          <w:color w:val="000000"/>
          <w:sz w:val="23"/>
          <w:szCs w:val="23"/>
        </w:rPr>
        <w:t xml:space="preserve">erar el 10% de los gastos totales de la iniciativa. </w:t>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ascii="TTE1D653F0t00" w:hAnsi="TTE1D653F0t00" w:cs="TTE1D653F0t00"/>
          <w:color w:val="000000"/>
          <w:sz w:val="23"/>
          <w:szCs w:val="23"/>
        </w:rPr>
        <w:t>En toda actividad de promoción y difusión, deberá señalarse que la actividad cuenta con financiamiento del Gobierno Regional de Magallanes y Antártica Chilena, y que ha sido organizada por la institución</w:t>
      </w:r>
      <w:r>
        <w:rPr>
          <w:rFonts w:ascii="TTE1D653F0t00" w:hAnsi="TTE1D653F0t00" w:cs="TTE1D653F0t00"/>
          <w:color w:val="000000"/>
          <w:sz w:val="23"/>
          <w:szCs w:val="23"/>
        </w:rPr>
        <w:t xml:space="preserve"> que ejecuta el proyecto </w:t>
      </w:r>
    </w:p>
    <w:p w:rsidR="00000000" w:rsidRDefault="001245BD">
      <w:pPr>
        <w:pStyle w:val="CM37"/>
        <w:spacing w:after="277" w:line="286" w:lineRule="atLeast"/>
        <w:ind w:left="417"/>
        <w:jc w:val="both"/>
        <w:rPr>
          <w:rFonts w:ascii="TTE23E7750t00" w:hAnsi="TTE23E7750t00" w:cs="TTE23E7750t00"/>
          <w:color w:val="000000"/>
          <w:sz w:val="23"/>
          <w:szCs w:val="23"/>
        </w:rPr>
      </w:pPr>
      <w:r>
        <w:rPr>
          <w:rFonts w:ascii="TTE23E7750t00" w:hAnsi="TTE23E7750t00" w:cs="TTE23E7750t00"/>
          <w:color w:val="000000"/>
          <w:sz w:val="23"/>
          <w:szCs w:val="23"/>
        </w:rPr>
        <w:t xml:space="preserve">En lo que respecta a medios de difusión, la entidad beneficiaria deberá considerar a lo menos lo siguiente: </w:t>
      </w:r>
    </w:p>
    <w:p w:rsidR="00000000" w:rsidRDefault="001245BD">
      <w:pPr>
        <w:pStyle w:val="CM10"/>
        <w:ind w:left="417"/>
        <w:jc w:val="both"/>
        <w:rPr>
          <w:rFonts w:ascii="TTE1D653F0t00" w:hAnsi="TTE1D653F0t00" w:cs="TTE1D653F0t00"/>
          <w:color w:val="000000"/>
          <w:sz w:val="23"/>
          <w:szCs w:val="23"/>
        </w:rPr>
      </w:pPr>
      <w:r>
        <w:rPr>
          <w:rFonts w:cs="TTE23EEF90t00"/>
          <w:color w:val="000000"/>
          <w:sz w:val="23"/>
          <w:szCs w:val="23"/>
        </w:rPr>
        <w:t xml:space="preserve">En medios gráficos: </w:t>
      </w:r>
      <w:r>
        <w:rPr>
          <w:rFonts w:ascii="TTE1D653F0t00" w:hAnsi="TTE1D653F0t00" w:cs="TTE1D653F0t00"/>
          <w:color w:val="000000"/>
          <w:sz w:val="23"/>
          <w:szCs w:val="23"/>
        </w:rPr>
        <w:t>El logotipo del Gobierno Regional de Magallanes y Antártica Chilena y alusió</w:t>
      </w:r>
      <w:r>
        <w:rPr>
          <w:rFonts w:ascii="TTE1D653F0t00" w:hAnsi="TTE1D653F0t00" w:cs="TTE1D653F0t00"/>
          <w:color w:val="000000"/>
          <w:sz w:val="23"/>
          <w:szCs w:val="23"/>
        </w:rPr>
        <w:t xml:space="preserve">n textual del financiamiento, deberá ocupar al menos un 20% de la superficie de la pieza impresa (invitaciones, dípticos, trípticos, pendones, lienzos, afiches, gigantografías, telones de fondo, entre otros), o todos los elementos y medios gráficos que se </w:t>
      </w:r>
      <w:r>
        <w:rPr>
          <w:rFonts w:ascii="TTE1D653F0t00" w:hAnsi="TTE1D653F0t00" w:cs="TTE1D653F0t00"/>
          <w:color w:val="000000"/>
          <w:sz w:val="23"/>
          <w:szCs w:val="23"/>
        </w:rPr>
        <w:t xml:space="preserve">estimen utilizar. </w:t>
      </w:r>
    </w:p>
    <w:p w:rsidR="00000000" w:rsidRDefault="007433DA">
      <w:pPr>
        <w:pStyle w:val="Default"/>
        <w:pageBreakBefore/>
        <w:framePr w:w="1488" w:wrap="auto" w:vAnchor="page" w:hAnchor="page" w:x="1683" w:y="1404"/>
        <w:spacing w:after="240"/>
        <w:rPr>
          <w:rFonts w:ascii="TTE1D653F0t00" w:hAnsi="TTE1D653F0t00" w:cs="TTE1D653F0t00"/>
          <w:sz w:val="23"/>
          <w:szCs w:val="23"/>
        </w:rPr>
      </w:pPr>
      <w:r>
        <w:rPr>
          <w:rFonts w:ascii="TTE1D653F0t00" w:hAnsi="TTE1D653F0t00" w:cs="TTE1D653F0t00"/>
          <w:noProof/>
          <w:sz w:val="23"/>
          <w:szCs w:val="23"/>
        </w:rPr>
        <w:lastRenderedPageBreak/>
        <w:drawing>
          <wp:inline distT="0" distB="0" distL="0" distR="0">
            <wp:extent cx="447675" cy="56197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cs="TTE23EEF90t00"/>
          <w:color w:val="000000"/>
          <w:sz w:val="23"/>
          <w:szCs w:val="23"/>
        </w:rPr>
        <w:t xml:space="preserve">En medios de comunicación, presentaciones y eventos: </w:t>
      </w:r>
      <w:r>
        <w:rPr>
          <w:rFonts w:ascii="TTE1D653F0t00" w:hAnsi="TTE1D653F0t00" w:cs="TTE1D653F0t00"/>
          <w:color w:val="000000"/>
          <w:sz w:val="23"/>
          <w:szCs w:val="23"/>
        </w:rPr>
        <w:t>Los ejecutores o quienes actúen en su representación, tendrán la responsabilidad y obligació</w:t>
      </w:r>
      <w:r>
        <w:rPr>
          <w:rFonts w:ascii="TTE1D653F0t00" w:hAnsi="TTE1D653F0t00" w:cs="TTE1D653F0t00"/>
          <w:color w:val="000000"/>
          <w:sz w:val="23"/>
          <w:szCs w:val="23"/>
        </w:rPr>
        <w:t>n de mencionar en los medios radiales, audiovisuales y escritos (diarios, revistas especializadas), en los discursos, presentaciones y vocativos de los eventos, que dichas actividades son financiadas con recursos del Fondo de Innovación para la Competitivi</w:t>
      </w:r>
      <w:r>
        <w:rPr>
          <w:rFonts w:ascii="TTE1D653F0t00" w:hAnsi="TTE1D653F0t00" w:cs="TTE1D653F0t00"/>
          <w:color w:val="000000"/>
          <w:sz w:val="23"/>
          <w:szCs w:val="23"/>
        </w:rPr>
        <w:t xml:space="preserve">dad año 2012 del Gobierno Regional de Magallanes y Antártica Chilena. </w:t>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cs="TTE23EEF90t00"/>
          <w:color w:val="000000"/>
          <w:sz w:val="23"/>
          <w:szCs w:val="23"/>
        </w:rPr>
        <w:t xml:space="preserve">Gastos Imprevistos: </w:t>
      </w:r>
      <w:r>
        <w:rPr>
          <w:rFonts w:ascii="TTE1D653F0t00" w:hAnsi="TTE1D653F0t00" w:cs="TTE1D653F0t00"/>
          <w:color w:val="000000"/>
          <w:sz w:val="23"/>
          <w:szCs w:val="23"/>
        </w:rPr>
        <w:t xml:space="preserve">Los gastos por imprevistos, extraordinarios o similares, podrán ocupar como máximo un 5% del total de los costos del proyecto. </w:t>
      </w:r>
    </w:p>
    <w:p w:rsidR="00000000" w:rsidRDefault="001245BD">
      <w:pPr>
        <w:pStyle w:val="CM40"/>
        <w:spacing w:after="565" w:line="286" w:lineRule="atLeast"/>
        <w:ind w:left="417"/>
        <w:jc w:val="both"/>
        <w:rPr>
          <w:rFonts w:ascii="TTE1D653F0t00" w:hAnsi="TTE1D653F0t00" w:cs="TTE1D653F0t00"/>
          <w:color w:val="000000"/>
          <w:sz w:val="23"/>
          <w:szCs w:val="23"/>
        </w:rPr>
      </w:pPr>
      <w:r>
        <w:rPr>
          <w:rFonts w:cs="TTE23EEF90t00"/>
          <w:color w:val="000000"/>
          <w:sz w:val="23"/>
          <w:szCs w:val="23"/>
        </w:rPr>
        <w:t xml:space="preserve">Gastos de Administración: </w:t>
      </w:r>
      <w:r>
        <w:rPr>
          <w:rFonts w:ascii="TTE1D653F0t00" w:hAnsi="TTE1D653F0t00" w:cs="TTE1D653F0t00"/>
          <w:color w:val="000000"/>
          <w:sz w:val="23"/>
          <w:szCs w:val="23"/>
        </w:rPr>
        <w:t>No se podrá</w:t>
      </w:r>
      <w:r>
        <w:rPr>
          <w:rFonts w:ascii="TTE1D653F0t00" w:hAnsi="TTE1D653F0t00" w:cs="TTE1D653F0t00"/>
          <w:color w:val="000000"/>
          <w:sz w:val="23"/>
          <w:szCs w:val="23"/>
        </w:rPr>
        <w:t xml:space="preserve">n pactar gastos de administración superiores al 8% del total de la transferencia anual de los convenios. </w:t>
      </w:r>
    </w:p>
    <w:p w:rsidR="00000000" w:rsidRDefault="001245BD">
      <w:pPr>
        <w:pStyle w:val="CM37"/>
        <w:spacing w:after="277" w:line="286" w:lineRule="atLeast"/>
        <w:ind w:hanging="350"/>
        <w:jc w:val="both"/>
        <w:rPr>
          <w:rFonts w:cs="TTE23EEF90t00"/>
          <w:color w:val="000000"/>
          <w:sz w:val="23"/>
          <w:szCs w:val="23"/>
        </w:rPr>
      </w:pPr>
      <w:r>
        <w:rPr>
          <w:rFonts w:cs="TTE23EEF90t00"/>
          <w:color w:val="000000"/>
          <w:sz w:val="23"/>
          <w:szCs w:val="23"/>
        </w:rPr>
        <w:t xml:space="preserve">8. DURACIÓN DE LOS PROYECTOS </w:t>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ascii="TTE1D653F0t00" w:hAnsi="TTE1D653F0t00" w:cs="TTE1D653F0t00"/>
          <w:color w:val="000000"/>
          <w:sz w:val="23"/>
          <w:szCs w:val="23"/>
        </w:rPr>
        <w:t xml:space="preserve">Los proyectos que se presenten a este Concurso de la Provisión Programa FNDR FIC de la Región de Magallanes y Antártica </w:t>
      </w:r>
      <w:r>
        <w:rPr>
          <w:rFonts w:ascii="TTE1D653F0t00" w:hAnsi="TTE1D653F0t00" w:cs="TTE1D653F0t00"/>
          <w:color w:val="000000"/>
          <w:sz w:val="23"/>
          <w:szCs w:val="23"/>
        </w:rPr>
        <w:t xml:space="preserve">Chilena, deberán ejecutarse dentro de un plazo de 12 meses, pudiéndose extenderse en los siguientes casos: </w:t>
      </w:r>
    </w:p>
    <w:p w:rsidR="00000000" w:rsidRDefault="001245BD">
      <w:pPr>
        <w:pStyle w:val="Default"/>
        <w:numPr>
          <w:ilvl w:val="0"/>
          <w:numId w:val="2"/>
        </w:numPr>
        <w:spacing w:after="52"/>
        <w:rPr>
          <w:rFonts w:ascii="TTE1D653F0t00" w:hAnsi="TTE1D653F0t00" w:cs="TTE1D653F0t00"/>
          <w:sz w:val="23"/>
          <w:szCs w:val="23"/>
        </w:rPr>
      </w:pPr>
      <w:r>
        <w:rPr>
          <w:rFonts w:ascii="TTE1D653F0t00" w:hAnsi="TTE1D653F0t00" w:cs="TTE1D653F0t00"/>
          <w:sz w:val="23"/>
          <w:szCs w:val="23"/>
        </w:rPr>
        <w:t>Proyectos cuyos ciclos de investigación requieren más de un año de ejecución. Para estos casos se deberá justificar en la ficha de postulación del p</w:t>
      </w:r>
      <w:r>
        <w:rPr>
          <w:rFonts w:ascii="TTE1D653F0t00" w:hAnsi="TTE1D653F0t00" w:cs="TTE1D653F0t00"/>
          <w:sz w:val="23"/>
          <w:szCs w:val="23"/>
        </w:rPr>
        <w:t xml:space="preserve">royecto. </w:t>
      </w:r>
    </w:p>
    <w:p w:rsidR="00000000" w:rsidRDefault="001245BD">
      <w:pPr>
        <w:pStyle w:val="Default"/>
        <w:numPr>
          <w:ilvl w:val="0"/>
          <w:numId w:val="2"/>
        </w:numPr>
        <w:rPr>
          <w:rFonts w:ascii="TTE1D653F0t00" w:hAnsi="TTE1D653F0t00" w:cs="TTE1D653F0t00"/>
          <w:sz w:val="23"/>
          <w:szCs w:val="23"/>
        </w:rPr>
      </w:pPr>
      <w:r>
        <w:rPr>
          <w:rFonts w:ascii="TTE1D653F0t00" w:hAnsi="TTE1D653F0t00" w:cs="TTE1D653F0t00"/>
          <w:sz w:val="23"/>
          <w:szCs w:val="23"/>
        </w:rPr>
        <w:t xml:space="preserve">Proyectos que soliciten aumentos de plazo. Sólo se podrá requerir posterior a la firma del Convenio de Transferencia, entre el GORE y la Institución Beneficiaria. </w:t>
      </w:r>
    </w:p>
    <w:p w:rsidR="00000000" w:rsidRDefault="001245BD">
      <w:pPr>
        <w:pStyle w:val="Default"/>
        <w:rPr>
          <w:rFonts w:ascii="TTE1D653F0t00" w:hAnsi="TTE1D653F0t00" w:cs="TTE1D653F0t00"/>
          <w:sz w:val="23"/>
          <w:szCs w:val="23"/>
        </w:rPr>
      </w:pPr>
    </w:p>
    <w:p w:rsidR="00000000" w:rsidRDefault="001245BD">
      <w:pPr>
        <w:pStyle w:val="CM37"/>
        <w:spacing w:after="277" w:line="286" w:lineRule="atLeast"/>
        <w:ind w:left="350" w:hanging="350"/>
        <w:jc w:val="both"/>
        <w:rPr>
          <w:rFonts w:cs="TTE23EEF90t00"/>
          <w:color w:val="000000"/>
          <w:sz w:val="23"/>
          <w:szCs w:val="23"/>
        </w:rPr>
      </w:pPr>
      <w:r>
        <w:rPr>
          <w:rFonts w:cs="TTE23EEF90t00"/>
          <w:color w:val="000000"/>
          <w:sz w:val="23"/>
          <w:szCs w:val="23"/>
        </w:rPr>
        <w:t xml:space="preserve">9. RECEPCION DE ANTECEDENTES </w:t>
      </w:r>
    </w:p>
    <w:p w:rsidR="00000000" w:rsidRDefault="001245BD">
      <w:pPr>
        <w:pStyle w:val="CM41"/>
        <w:spacing w:after="330" w:line="331" w:lineRule="atLeast"/>
        <w:ind w:left="415"/>
        <w:jc w:val="both"/>
        <w:rPr>
          <w:rFonts w:ascii="TTE1D653F0t00" w:hAnsi="TTE1D653F0t00" w:cs="TTE1D653F0t00"/>
          <w:color w:val="000000"/>
          <w:sz w:val="23"/>
          <w:szCs w:val="23"/>
        </w:rPr>
      </w:pPr>
      <w:r>
        <w:rPr>
          <w:rFonts w:ascii="TTE1D653F0t00" w:hAnsi="TTE1D653F0t00" w:cs="TTE1D653F0t00"/>
          <w:color w:val="000000"/>
          <w:sz w:val="23"/>
          <w:szCs w:val="23"/>
        </w:rPr>
        <w:t xml:space="preserve">Recepción de </w:t>
      </w:r>
      <w:r>
        <w:rPr>
          <w:rFonts w:cs="TTE23EEF90t00"/>
          <w:color w:val="000000"/>
          <w:sz w:val="23"/>
          <w:szCs w:val="23"/>
        </w:rPr>
        <w:t>Antecedentes Legales y Técnicos para A</w:t>
      </w:r>
      <w:r>
        <w:rPr>
          <w:rFonts w:cs="TTE23EEF90t00"/>
          <w:color w:val="000000"/>
          <w:sz w:val="23"/>
          <w:szCs w:val="23"/>
        </w:rPr>
        <w:t xml:space="preserve">dmisibilidad, </w:t>
      </w:r>
      <w:r>
        <w:rPr>
          <w:rFonts w:ascii="TTE1D653F0t00" w:hAnsi="TTE1D653F0t00" w:cs="TTE1D653F0t00"/>
          <w:color w:val="000000"/>
          <w:sz w:val="23"/>
          <w:szCs w:val="23"/>
        </w:rPr>
        <w:t xml:space="preserve">de acuerdo a Bases Especiales de Concurso FIC – R 2012, </w:t>
      </w:r>
      <w:r>
        <w:rPr>
          <w:rFonts w:cs="TTE23EEF90t00"/>
          <w:color w:val="000000"/>
          <w:sz w:val="23"/>
          <w:szCs w:val="23"/>
        </w:rPr>
        <w:t xml:space="preserve">hasta las 12.00 hrs. del 28 de Mayo de 2012, </w:t>
      </w:r>
      <w:r>
        <w:rPr>
          <w:rFonts w:ascii="TTE1D653F0t00" w:hAnsi="TTE1D653F0t00" w:cs="TTE1D653F0t00"/>
          <w:color w:val="000000"/>
          <w:sz w:val="23"/>
          <w:szCs w:val="23"/>
        </w:rPr>
        <w:t xml:space="preserve">en la oficina de partes del Gobierno Regional de Magallanes y Antártica Chilena, ubicada en calle Bories N°901. </w:t>
      </w:r>
    </w:p>
    <w:p w:rsidR="00000000" w:rsidRDefault="001245BD">
      <w:pPr>
        <w:pStyle w:val="CM41"/>
        <w:spacing w:after="330" w:line="331" w:lineRule="atLeast"/>
        <w:ind w:left="415"/>
        <w:jc w:val="both"/>
        <w:rPr>
          <w:rFonts w:cs="TTE23EEF90t00"/>
          <w:color w:val="000000"/>
          <w:sz w:val="23"/>
          <w:szCs w:val="23"/>
        </w:rPr>
      </w:pPr>
      <w:r>
        <w:rPr>
          <w:rFonts w:cs="TTE23EEF90t00"/>
          <w:color w:val="000000"/>
          <w:sz w:val="23"/>
          <w:szCs w:val="23"/>
        </w:rPr>
        <w:t>Los antecedentes deben ser p</w:t>
      </w:r>
      <w:r>
        <w:rPr>
          <w:rFonts w:cs="TTE23EEF90t00"/>
          <w:color w:val="000000"/>
          <w:sz w:val="23"/>
          <w:szCs w:val="23"/>
        </w:rPr>
        <w:t xml:space="preserve">resentados en original con dos copias impresas de cada documento y dos copias en archivos digitales en CD </w:t>
      </w:r>
    </w:p>
    <w:p w:rsidR="00000000" w:rsidRDefault="001245BD">
      <w:pPr>
        <w:pStyle w:val="CM21"/>
        <w:ind w:left="415"/>
        <w:jc w:val="both"/>
        <w:rPr>
          <w:rFonts w:cs="TTE23EEF90t00"/>
          <w:color w:val="000000"/>
          <w:sz w:val="23"/>
          <w:szCs w:val="23"/>
        </w:rPr>
      </w:pPr>
      <w:r>
        <w:rPr>
          <w:rFonts w:ascii="TTE1D653F0t00" w:hAnsi="TTE1D653F0t00" w:cs="TTE1D653F0t00"/>
          <w:color w:val="000000"/>
          <w:sz w:val="23"/>
          <w:szCs w:val="23"/>
        </w:rPr>
        <w:t xml:space="preserve">Recepción de </w:t>
      </w:r>
      <w:r>
        <w:rPr>
          <w:rFonts w:cs="TTE23EEF90t00"/>
          <w:color w:val="000000"/>
          <w:sz w:val="23"/>
          <w:szCs w:val="23"/>
        </w:rPr>
        <w:t>Ficha de Proyectos</w:t>
      </w:r>
      <w:r>
        <w:rPr>
          <w:rFonts w:ascii="TTE1D653F0t00" w:hAnsi="TTE1D653F0t00" w:cs="TTE1D653F0t00"/>
          <w:color w:val="000000"/>
          <w:sz w:val="23"/>
          <w:szCs w:val="23"/>
        </w:rPr>
        <w:t xml:space="preserve">, de acuerdo a Bases de Concurso FIC – R 2012, </w:t>
      </w:r>
      <w:r>
        <w:rPr>
          <w:rFonts w:cs="TTE23EEF90t00"/>
          <w:color w:val="000000"/>
          <w:sz w:val="23"/>
          <w:szCs w:val="23"/>
        </w:rPr>
        <w:t xml:space="preserve">hasta las </w:t>
      </w:r>
    </w:p>
    <w:p w:rsidR="00000000" w:rsidRDefault="001245BD">
      <w:pPr>
        <w:pStyle w:val="CM37"/>
        <w:spacing w:after="277" w:line="331" w:lineRule="atLeast"/>
        <w:ind w:left="415"/>
        <w:jc w:val="both"/>
        <w:rPr>
          <w:rFonts w:ascii="TTE1D653F0t00" w:hAnsi="TTE1D653F0t00" w:cs="TTE1D653F0t00"/>
          <w:color w:val="000000"/>
          <w:sz w:val="23"/>
          <w:szCs w:val="23"/>
        </w:rPr>
      </w:pPr>
      <w:r>
        <w:rPr>
          <w:rFonts w:cs="TTE23EEF90t00"/>
          <w:color w:val="000000"/>
          <w:sz w:val="23"/>
          <w:szCs w:val="23"/>
        </w:rPr>
        <w:t xml:space="preserve">12.00 hrs. del 04 de Junio de 2012, </w:t>
      </w:r>
      <w:r>
        <w:rPr>
          <w:rFonts w:ascii="TTE1D653F0t00" w:hAnsi="TTE1D653F0t00" w:cs="TTE1D653F0t00"/>
          <w:color w:val="000000"/>
          <w:sz w:val="23"/>
          <w:szCs w:val="23"/>
        </w:rPr>
        <w:t xml:space="preserve">en la oficina de partes </w:t>
      </w:r>
      <w:r>
        <w:rPr>
          <w:rFonts w:ascii="TTE1D653F0t00" w:hAnsi="TTE1D653F0t00" w:cs="TTE1D653F0t00"/>
          <w:color w:val="000000"/>
          <w:sz w:val="23"/>
          <w:szCs w:val="23"/>
        </w:rPr>
        <w:t xml:space="preserve">del Gobierno Regional de Magallanes y Antártica Chilena, ubicada en calle Bories N°901. </w:t>
      </w:r>
    </w:p>
    <w:p w:rsidR="00000000" w:rsidRDefault="001245BD">
      <w:pPr>
        <w:pStyle w:val="CM10"/>
        <w:ind w:left="417"/>
        <w:jc w:val="both"/>
        <w:rPr>
          <w:rFonts w:ascii="TTE1D653F0t00" w:hAnsi="TTE1D653F0t00" w:cs="TTE1D653F0t00"/>
          <w:color w:val="000000"/>
          <w:sz w:val="23"/>
          <w:szCs w:val="23"/>
        </w:rPr>
      </w:pPr>
      <w:r>
        <w:rPr>
          <w:rFonts w:cs="TTE23EEF90t00"/>
          <w:color w:val="000000"/>
          <w:sz w:val="23"/>
          <w:szCs w:val="23"/>
        </w:rPr>
        <w:t>Los antecedentes deben ser presentados en original con dos copias impresas de cada documento y dos copias en archivos digitales en CD</w:t>
      </w:r>
      <w:r>
        <w:rPr>
          <w:rFonts w:ascii="TTE1D653F0t00" w:hAnsi="TTE1D653F0t00" w:cs="TTE1D653F0t00"/>
          <w:color w:val="000000"/>
          <w:sz w:val="23"/>
          <w:szCs w:val="23"/>
        </w:rPr>
        <w:t xml:space="preserve">. </w:t>
      </w:r>
    </w:p>
    <w:p w:rsidR="00000000" w:rsidRDefault="007433DA">
      <w:pPr>
        <w:pStyle w:val="Default"/>
        <w:pageBreakBefore/>
        <w:framePr w:w="1488" w:wrap="auto" w:vAnchor="page" w:hAnchor="page" w:x="1683" w:y="1404"/>
        <w:spacing w:after="520"/>
        <w:rPr>
          <w:rFonts w:ascii="TTE1D653F0t00" w:hAnsi="TTE1D653F0t00" w:cs="TTE1D653F0t00"/>
          <w:sz w:val="23"/>
          <w:szCs w:val="23"/>
        </w:rPr>
      </w:pPr>
      <w:r>
        <w:rPr>
          <w:rFonts w:ascii="TTE1D653F0t00" w:hAnsi="TTE1D653F0t00" w:cs="TTE1D653F0t00"/>
          <w:noProof/>
          <w:sz w:val="23"/>
          <w:szCs w:val="23"/>
        </w:rPr>
        <w:lastRenderedPageBreak/>
        <w:drawing>
          <wp:inline distT="0" distB="0" distL="0" distR="0">
            <wp:extent cx="447675" cy="56197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40"/>
        <w:spacing w:after="565" w:line="286" w:lineRule="atLeast"/>
        <w:ind w:left="417"/>
        <w:jc w:val="both"/>
        <w:rPr>
          <w:rFonts w:ascii="TTE1D653F0t00" w:hAnsi="TTE1D653F0t00" w:cs="TTE1D653F0t00"/>
          <w:color w:val="000000"/>
          <w:sz w:val="23"/>
          <w:szCs w:val="23"/>
        </w:rPr>
      </w:pPr>
      <w:r>
        <w:rPr>
          <w:rFonts w:ascii="TTE1D653F0t00" w:hAnsi="TTE1D653F0t00" w:cs="TTE1D653F0t00"/>
          <w:color w:val="000000"/>
          <w:sz w:val="23"/>
          <w:szCs w:val="23"/>
        </w:rPr>
        <w:t xml:space="preserve">Todas las </w:t>
      </w:r>
      <w:r>
        <w:rPr>
          <w:rFonts w:cs="TTE23EEF90t00"/>
          <w:color w:val="000000"/>
          <w:sz w:val="23"/>
          <w:szCs w:val="23"/>
        </w:rPr>
        <w:t xml:space="preserve">consultas </w:t>
      </w:r>
      <w:r>
        <w:rPr>
          <w:rFonts w:ascii="TTE1D653F0t00" w:hAnsi="TTE1D653F0t00" w:cs="TTE1D653F0t00"/>
          <w:color w:val="000000"/>
          <w:sz w:val="23"/>
          <w:szCs w:val="23"/>
        </w:rPr>
        <w:t xml:space="preserve">serán recibidas </w:t>
      </w:r>
      <w:r>
        <w:rPr>
          <w:rFonts w:cs="TTE23EEF90t00"/>
          <w:color w:val="000000"/>
          <w:sz w:val="23"/>
          <w:szCs w:val="23"/>
        </w:rPr>
        <w:t xml:space="preserve">hasta las 12.00 hrs. del 24 de Mayo de 2012 </w:t>
      </w:r>
      <w:r>
        <w:rPr>
          <w:rFonts w:ascii="TTE1D653F0t00" w:hAnsi="TTE1D653F0t00" w:cs="TTE1D653F0t00"/>
          <w:color w:val="000000"/>
          <w:sz w:val="23"/>
          <w:szCs w:val="23"/>
        </w:rPr>
        <w:t xml:space="preserve">al mail habilitado especialmente para estos fines </w:t>
      </w:r>
      <w:r>
        <w:rPr>
          <w:rFonts w:ascii="TTE1D653F0t00" w:hAnsi="TTE1D653F0t00" w:cs="TTE1D653F0t00"/>
          <w:color w:val="0000FF"/>
          <w:sz w:val="23"/>
          <w:szCs w:val="23"/>
          <w:u w:val="single"/>
        </w:rPr>
        <w:t>consultasfic@goremagallanes.cl</w:t>
      </w:r>
      <w:r>
        <w:rPr>
          <w:rFonts w:ascii="TTE1D653F0t00" w:hAnsi="TTE1D653F0t00" w:cs="TTE1D653F0t00"/>
          <w:color w:val="000000"/>
          <w:sz w:val="23"/>
          <w:szCs w:val="23"/>
        </w:rPr>
        <w:t>. El plazo de respuestas</w:t>
      </w:r>
      <w:r>
        <w:rPr>
          <w:rFonts w:ascii="TTE1D653F0t00" w:hAnsi="TTE1D653F0t00" w:cs="TTE1D653F0t00"/>
          <w:color w:val="000000"/>
          <w:sz w:val="23"/>
          <w:szCs w:val="23"/>
        </w:rPr>
        <w:t xml:space="preserve"> a estas consultas será hasta el día 25 de Mayo de 2012. </w:t>
      </w:r>
    </w:p>
    <w:p w:rsidR="00000000" w:rsidRDefault="001245BD">
      <w:pPr>
        <w:pStyle w:val="CM37"/>
        <w:spacing w:after="277" w:line="288" w:lineRule="atLeast"/>
        <w:jc w:val="both"/>
        <w:rPr>
          <w:rFonts w:cs="TTE23EEF90t00"/>
          <w:color w:val="000000"/>
          <w:sz w:val="23"/>
          <w:szCs w:val="23"/>
        </w:rPr>
      </w:pPr>
      <w:r>
        <w:rPr>
          <w:rFonts w:cs="TTE23EEF90t00"/>
          <w:color w:val="000000"/>
          <w:sz w:val="23"/>
          <w:szCs w:val="23"/>
        </w:rPr>
        <w:t xml:space="preserve">10. ACEPTACION DE LAS BASES </w:t>
      </w:r>
    </w:p>
    <w:p w:rsidR="00000000" w:rsidRDefault="001245BD">
      <w:pPr>
        <w:pStyle w:val="CM34"/>
        <w:spacing w:after="862" w:line="286" w:lineRule="atLeast"/>
        <w:ind w:left="417"/>
        <w:jc w:val="both"/>
        <w:rPr>
          <w:rFonts w:ascii="TTE1D653F0t00" w:hAnsi="TTE1D653F0t00" w:cs="TTE1D653F0t00"/>
          <w:color w:val="000000"/>
          <w:sz w:val="23"/>
          <w:szCs w:val="23"/>
        </w:rPr>
      </w:pPr>
      <w:r>
        <w:rPr>
          <w:rFonts w:ascii="TTE1D653F0t00" w:hAnsi="TTE1D653F0t00" w:cs="TTE1D653F0t00"/>
          <w:color w:val="000000"/>
          <w:sz w:val="23"/>
          <w:szCs w:val="23"/>
        </w:rPr>
        <w:t>La postulación de proyectos a esta Convocatoria acredita para todos los efectos legales, que el responsable de la institución que postula conoce y acepta el contenido ín</w:t>
      </w:r>
      <w:r>
        <w:rPr>
          <w:rFonts w:ascii="TTE1D653F0t00" w:hAnsi="TTE1D653F0t00" w:cs="TTE1D653F0t00"/>
          <w:color w:val="000000"/>
          <w:sz w:val="23"/>
          <w:szCs w:val="23"/>
        </w:rPr>
        <w:t xml:space="preserve">tegro de las presentes bases y se sujetará a los resultados del presente Concurso. </w:t>
      </w:r>
    </w:p>
    <w:p w:rsidR="00000000" w:rsidRDefault="001245BD">
      <w:pPr>
        <w:pStyle w:val="CM37"/>
        <w:spacing w:after="277" w:line="288" w:lineRule="atLeast"/>
        <w:jc w:val="both"/>
        <w:rPr>
          <w:rFonts w:cs="TTE23EEF90t00"/>
          <w:color w:val="000000"/>
          <w:sz w:val="23"/>
          <w:szCs w:val="23"/>
        </w:rPr>
      </w:pPr>
      <w:r>
        <w:rPr>
          <w:rFonts w:cs="TTE23EEF90t00"/>
          <w:color w:val="000000"/>
          <w:sz w:val="23"/>
          <w:szCs w:val="23"/>
        </w:rPr>
        <w:t xml:space="preserve">11. RESTRICCIONES E INHABILIDADES </w:t>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ascii="TTE1D653F0t00" w:hAnsi="TTE1D653F0t00" w:cs="TTE1D653F0t00"/>
          <w:color w:val="000000"/>
          <w:sz w:val="23"/>
          <w:szCs w:val="23"/>
        </w:rPr>
        <w:t>El Gobierno Regional de Magallanes y Antártica Chilena no podrá realizar convenios, ni transferir nuevos recursos, a instituciones que no</w:t>
      </w:r>
      <w:r>
        <w:rPr>
          <w:rFonts w:ascii="TTE1D653F0t00" w:hAnsi="TTE1D653F0t00" w:cs="TTE1D653F0t00"/>
          <w:color w:val="000000"/>
          <w:sz w:val="23"/>
          <w:szCs w:val="23"/>
        </w:rPr>
        <w:t xml:space="preserve"> presenten antecedentes de cumplimiento con los plazos de Convenios y el informe de avance efectivo sobre la ejecución de la Provisión Programa FIC Regional 2008, 2009, 2010 y 2011, si es que existiere dicha situación. </w:t>
      </w:r>
    </w:p>
    <w:p w:rsidR="00000000" w:rsidRDefault="001245BD">
      <w:pPr>
        <w:pStyle w:val="CM37"/>
        <w:spacing w:after="277" w:line="286" w:lineRule="atLeast"/>
        <w:ind w:left="420" w:hanging="350"/>
        <w:jc w:val="both"/>
        <w:rPr>
          <w:rFonts w:ascii="TTE1D653F0t00" w:hAnsi="TTE1D653F0t00" w:cs="TTE1D653F0t00"/>
          <w:color w:val="000000"/>
          <w:sz w:val="23"/>
          <w:szCs w:val="23"/>
        </w:rPr>
      </w:pPr>
      <w:r>
        <w:rPr>
          <w:rFonts w:ascii="TTE1D653F0t00" w:hAnsi="TTE1D653F0t00" w:cs="TTE1D653F0t00"/>
          <w:color w:val="000000"/>
          <w:sz w:val="23"/>
          <w:szCs w:val="23"/>
        </w:rPr>
        <w:t>•</w:t>
      </w:r>
      <w:r>
        <w:rPr>
          <w:rFonts w:ascii="TTE1D653F0t00" w:hAnsi="TTE1D653F0t00" w:cs="TTE1D653F0t00"/>
          <w:color w:val="000000"/>
          <w:sz w:val="23"/>
          <w:szCs w:val="23"/>
        </w:rPr>
        <w:t xml:space="preserve"> Cuyos directivos o socios sean mie</w:t>
      </w:r>
      <w:r>
        <w:rPr>
          <w:rFonts w:ascii="TTE1D653F0t00" w:hAnsi="TTE1D653F0t00" w:cs="TTE1D653F0t00"/>
          <w:color w:val="000000"/>
          <w:sz w:val="23"/>
          <w:szCs w:val="23"/>
        </w:rPr>
        <w:t xml:space="preserve">mbros del Consejo Regional de Magallanes y Antártica Chilena; o sean cónyuges, parientes por consanguinidad o afinidad hasta el segundo grado de los miembros del Consejo Regional que resuelva la adjudicación de la respectiva convocatoria. </w:t>
      </w:r>
    </w:p>
    <w:p w:rsidR="00000000" w:rsidRDefault="001245BD">
      <w:pPr>
        <w:pStyle w:val="CM37"/>
        <w:spacing w:after="277" w:line="288" w:lineRule="atLeast"/>
        <w:jc w:val="both"/>
        <w:rPr>
          <w:rFonts w:cs="TTE23EEF90t00"/>
          <w:color w:val="000000"/>
          <w:sz w:val="23"/>
          <w:szCs w:val="23"/>
        </w:rPr>
      </w:pPr>
      <w:r>
        <w:rPr>
          <w:rFonts w:cs="TTE23EEF90t00"/>
          <w:color w:val="000000"/>
          <w:sz w:val="23"/>
          <w:szCs w:val="23"/>
        </w:rPr>
        <w:t>12. TRANSFERENCI</w:t>
      </w:r>
      <w:r>
        <w:rPr>
          <w:rFonts w:cs="TTE23EEF90t00"/>
          <w:color w:val="000000"/>
          <w:sz w:val="23"/>
          <w:szCs w:val="23"/>
        </w:rPr>
        <w:t xml:space="preserve">A DE RECURSOS </w:t>
      </w:r>
    </w:p>
    <w:p w:rsidR="00000000" w:rsidRDefault="001245BD">
      <w:pPr>
        <w:pStyle w:val="CM37"/>
        <w:spacing w:after="277" w:line="286" w:lineRule="atLeast"/>
        <w:ind w:left="417"/>
        <w:jc w:val="both"/>
        <w:rPr>
          <w:rFonts w:ascii="TTE1D653F0t00" w:hAnsi="TTE1D653F0t00" w:cs="TTE1D653F0t00"/>
          <w:color w:val="000000"/>
          <w:sz w:val="23"/>
          <w:szCs w:val="23"/>
        </w:rPr>
      </w:pPr>
      <w:r>
        <w:rPr>
          <w:rFonts w:ascii="TTE1D653F0t00" w:hAnsi="TTE1D653F0t00" w:cs="TTE1D653F0t00"/>
          <w:color w:val="000000"/>
          <w:sz w:val="23"/>
          <w:szCs w:val="23"/>
        </w:rPr>
        <w:t>La transferencia de recursos hacia las entidades receptoras se realizará a través de convenios. Los términos para suscribir y formalizar dichos convenios serán acordados entre cada institución y el gobierno regional, firmados por sus máximas</w:t>
      </w:r>
      <w:r>
        <w:rPr>
          <w:rFonts w:ascii="TTE1D653F0t00" w:hAnsi="TTE1D653F0t00" w:cs="TTE1D653F0t00"/>
          <w:color w:val="000000"/>
          <w:sz w:val="23"/>
          <w:szCs w:val="23"/>
        </w:rPr>
        <w:t xml:space="preserve"> autoridades (o quienes los subroguen) y enviados a Toma de Razón de la Contraloría Regional, en caso que corresponda. </w:t>
      </w:r>
    </w:p>
    <w:p w:rsidR="00000000" w:rsidRDefault="001245BD">
      <w:pPr>
        <w:pStyle w:val="CM41"/>
        <w:spacing w:after="330" w:line="288" w:lineRule="atLeast"/>
        <w:jc w:val="both"/>
        <w:rPr>
          <w:rFonts w:cs="TTE23EEF90t00"/>
          <w:color w:val="000000"/>
          <w:sz w:val="23"/>
          <w:szCs w:val="23"/>
        </w:rPr>
      </w:pPr>
      <w:r>
        <w:rPr>
          <w:rFonts w:cs="TTE23EEF90t00"/>
          <w:color w:val="000000"/>
          <w:sz w:val="23"/>
          <w:szCs w:val="23"/>
        </w:rPr>
        <w:t xml:space="preserve">12.1. Celebración de convenios pueden incluir recursos sectoriales y privados. </w:t>
      </w:r>
    </w:p>
    <w:p w:rsidR="00000000" w:rsidRDefault="001245BD">
      <w:pPr>
        <w:pStyle w:val="CM16"/>
        <w:ind w:left="705"/>
        <w:jc w:val="both"/>
        <w:rPr>
          <w:rFonts w:ascii="TTE1D653F0t00" w:hAnsi="TTE1D653F0t00" w:cs="TTE1D653F0t00"/>
          <w:color w:val="000000"/>
          <w:sz w:val="23"/>
          <w:szCs w:val="23"/>
        </w:rPr>
      </w:pPr>
      <w:r>
        <w:rPr>
          <w:rFonts w:ascii="TTE1D653F0t00" w:hAnsi="TTE1D653F0t00" w:cs="TTE1D653F0t00"/>
          <w:color w:val="000000"/>
          <w:sz w:val="23"/>
          <w:szCs w:val="23"/>
        </w:rPr>
        <w:t>Los convenios del Gobierno regional con las institucione</w:t>
      </w:r>
      <w:r>
        <w:rPr>
          <w:rFonts w:ascii="TTE1D653F0t00" w:hAnsi="TTE1D653F0t00" w:cs="TTE1D653F0t00"/>
          <w:color w:val="000000"/>
          <w:sz w:val="23"/>
          <w:szCs w:val="23"/>
        </w:rPr>
        <w:t xml:space="preserve">s receptoras podrán comprometer recursos sectoriales, incluso privados, además de los regionales; deberán establecerlos procedimientos y condiciones bajo los cuales se efectuará la aplicación de los recursos que se transfieren. </w:t>
      </w:r>
    </w:p>
    <w:p w:rsidR="00000000" w:rsidRDefault="007433DA">
      <w:pPr>
        <w:pStyle w:val="Default"/>
        <w:pageBreakBefore/>
        <w:framePr w:w="1488" w:wrap="auto" w:vAnchor="page" w:hAnchor="page" w:x="1683" w:y="1404"/>
        <w:spacing w:after="200"/>
        <w:rPr>
          <w:rFonts w:ascii="TTE1D653F0t00" w:hAnsi="TTE1D653F0t00" w:cs="TTE1D653F0t00"/>
          <w:sz w:val="23"/>
          <w:szCs w:val="23"/>
        </w:rPr>
      </w:pPr>
      <w:r>
        <w:rPr>
          <w:rFonts w:ascii="TTE1D653F0t00" w:hAnsi="TTE1D653F0t00" w:cs="TTE1D653F0t00"/>
          <w:noProof/>
          <w:sz w:val="23"/>
          <w:szCs w:val="23"/>
        </w:rPr>
        <w:lastRenderedPageBreak/>
        <w:drawing>
          <wp:inline distT="0" distB="0" distL="0" distR="0">
            <wp:extent cx="447675" cy="56197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41"/>
        <w:spacing w:after="330" w:line="331" w:lineRule="atLeast"/>
        <w:ind w:left="700" w:hanging="700"/>
        <w:jc w:val="both"/>
        <w:rPr>
          <w:rFonts w:cs="TTE23EEF90t00"/>
          <w:color w:val="000000"/>
          <w:sz w:val="23"/>
          <w:szCs w:val="23"/>
        </w:rPr>
      </w:pPr>
      <w:r>
        <w:rPr>
          <w:rFonts w:cs="TTE23EEF90t00"/>
          <w:color w:val="000000"/>
          <w:sz w:val="23"/>
          <w:szCs w:val="23"/>
        </w:rPr>
        <w:t xml:space="preserve">12.2. Incorporación de cláusulas de autorización propiedad intelectual y contratación de seguros. </w:t>
      </w:r>
    </w:p>
    <w:p w:rsidR="00000000" w:rsidRDefault="001245BD">
      <w:pPr>
        <w:pStyle w:val="CM41"/>
        <w:spacing w:after="330" w:line="328" w:lineRule="atLeast"/>
        <w:ind w:left="705"/>
        <w:jc w:val="both"/>
        <w:rPr>
          <w:rFonts w:ascii="TTE1DF63B8t00" w:hAnsi="TTE1DF63B8t00" w:cs="TTE1DF63B8t00"/>
          <w:color w:val="000000"/>
          <w:sz w:val="23"/>
          <w:szCs w:val="23"/>
        </w:rPr>
      </w:pPr>
      <w:r>
        <w:rPr>
          <w:rFonts w:ascii="TTE1D653F0t00" w:hAnsi="TTE1D653F0t00" w:cs="TTE1D653F0t00"/>
          <w:color w:val="000000"/>
          <w:sz w:val="23"/>
          <w:szCs w:val="23"/>
        </w:rPr>
        <w:t>Los convenios con las entidades receptoras deberán incluir la siguiente cláusula: “</w:t>
      </w:r>
      <w:r>
        <w:rPr>
          <w:rFonts w:ascii="TTE1DF63B8t00" w:hAnsi="TTE1DF63B8t00" w:cs="TTE1DF63B8t00"/>
          <w:color w:val="000000"/>
          <w:sz w:val="23"/>
          <w:szCs w:val="23"/>
        </w:rPr>
        <w:t>El Gobierno Regional podrá</w:t>
      </w:r>
      <w:r>
        <w:rPr>
          <w:rFonts w:ascii="TTE1DF63B8t00" w:hAnsi="TTE1DF63B8t00" w:cs="TTE1DF63B8t00"/>
          <w:color w:val="000000"/>
          <w:sz w:val="23"/>
          <w:szCs w:val="23"/>
        </w:rPr>
        <w:t xml:space="preserve"> reproducir por cualquier procedimiento escrito, sonoro, audiovisual y/o electrónico, que estime pertinente, los trabajos y/o resultados conclusivos de los proyectos e investigaciones financiados con recursos que emanen del presente convenio, todo ello sin</w:t>
      </w:r>
      <w:r>
        <w:rPr>
          <w:rFonts w:ascii="TTE1DF63B8t00" w:hAnsi="TTE1DF63B8t00" w:cs="TTE1DF63B8t00"/>
          <w:color w:val="000000"/>
          <w:sz w:val="23"/>
          <w:szCs w:val="23"/>
        </w:rPr>
        <w:t xml:space="preserve"> fines de lucro y cuando implique una mayor realización espiritual y material de la comunidad magallánica; salvo que la entidad receptora manifieste su oposición de manera fundad dentro de 10 días hábiles siguientes a tomar noticia de la publicación. La en</w:t>
      </w:r>
      <w:r>
        <w:rPr>
          <w:rFonts w:ascii="TTE1DF63B8t00" w:hAnsi="TTE1DF63B8t00" w:cs="TTE1DF63B8t00"/>
          <w:color w:val="000000"/>
          <w:sz w:val="23"/>
          <w:szCs w:val="23"/>
        </w:rPr>
        <w:t>tidad receptora, de conformidad al artículo 18 inciso primero de la Ley 17.336 y sus modificaciones posteriores, expresamente autoriza el derecho de utilizar la obra al Gobierno Regional de forma gratuita y por lapso indeterminado, en consecuencia de ello,</w:t>
      </w:r>
      <w:r>
        <w:rPr>
          <w:rFonts w:ascii="TTE1DF63B8t00" w:hAnsi="TTE1DF63B8t00" w:cs="TTE1DF63B8t00"/>
          <w:color w:val="000000"/>
          <w:sz w:val="23"/>
          <w:szCs w:val="23"/>
        </w:rPr>
        <w:t xml:space="preserve"> no bastará para la oposición mencionada anteriormente la mera mención de la inscripción de los derechos patrimoniales de autor y/o propiedad intelectual, sino además la prevención de algún perjuicio económico, social, cultural, científico o de seguridad n</w:t>
      </w:r>
      <w:r>
        <w:rPr>
          <w:rFonts w:ascii="TTE1DF63B8t00" w:hAnsi="TTE1DF63B8t00" w:cs="TTE1DF63B8t00"/>
          <w:color w:val="000000"/>
          <w:sz w:val="23"/>
          <w:szCs w:val="23"/>
        </w:rPr>
        <w:t>acional que pueda acarrear la publicación de los proyectos, trabajos, investigaciones y/o resultados de éstos. En la reproducción el Gobierno Regional deberá mencionar tanto el título de la investigación, trabajo o proyecto como también el nombre del autor</w:t>
      </w:r>
      <w:r>
        <w:rPr>
          <w:rFonts w:ascii="TTE1DF63B8t00" w:hAnsi="TTE1DF63B8t00" w:cs="TTE1DF63B8t00"/>
          <w:color w:val="000000"/>
          <w:sz w:val="23"/>
          <w:szCs w:val="23"/>
        </w:rPr>
        <w:t>. El Gobierno Regional se compromete a impedir que se puedan hacer copias electrónicas de esas reproducciones. En caso de persistir discrepancia en esta materia o en cualquiera otra del presente convenio ambas partes expresamente prorrogan la competencia e</w:t>
      </w:r>
      <w:r>
        <w:rPr>
          <w:rFonts w:ascii="TTE1DF63B8t00" w:hAnsi="TTE1DF63B8t00" w:cs="TTE1DF63B8t00"/>
          <w:color w:val="000000"/>
          <w:sz w:val="23"/>
          <w:szCs w:val="23"/>
        </w:rPr>
        <w:t xml:space="preserve">n los Tribunales de Justicia en lo Civil de la ciudad de Punta arenas, república de Chile”. </w:t>
      </w:r>
    </w:p>
    <w:p w:rsidR="00000000" w:rsidRDefault="001245BD">
      <w:pPr>
        <w:pStyle w:val="CM16"/>
        <w:ind w:left="705"/>
        <w:jc w:val="both"/>
        <w:rPr>
          <w:rFonts w:ascii="TTE1DF63B8t00" w:hAnsi="TTE1DF63B8t00" w:cs="TTE1DF63B8t00"/>
          <w:color w:val="000000"/>
          <w:sz w:val="23"/>
          <w:szCs w:val="23"/>
        </w:rPr>
      </w:pPr>
      <w:r>
        <w:rPr>
          <w:rFonts w:ascii="TTE1D653F0t00" w:hAnsi="TTE1D653F0t00" w:cs="TTE1D653F0t00"/>
          <w:color w:val="000000"/>
          <w:sz w:val="23"/>
          <w:szCs w:val="23"/>
        </w:rPr>
        <w:t xml:space="preserve">Los convenios con las entidades receptoras deberán incluir la siguiente cláusula: </w:t>
      </w:r>
      <w:r>
        <w:rPr>
          <w:rFonts w:ascii="TTE1DF63B8t00" w:hAnsi="TTE1DF63B8t00" w:cs="TTE1DF63B8t00"/>
          <w:color w:val="000000"/>
          <w:sz w:val="23"/>
          <w:szCs w:val="23"/>
        </w:rPr>
        <w:t>“En caso de adquisició</w:t>
      </w:r>
      <w:r>
        <w:rPr>
          <w:rFonts w:ascii="TTE1DF63B8t00" w:hAnsi="TTE1DF63B8t00" w:cs="TTE1DF63B8t00"/>
          <w:color w:val="000000"/>
          <w:sz w:val="23"/>
          <w:szCs w:val="23"/>
        </w:rPr>
        <w:t>n de equipos por parte de la entidad receptora que sean financiados con recursos originados del presente convenio, la entidad receptora se compromete a la contratación de seguros que cubran eventuales daños sobre dichos equipos ocurridos por incendio, catá</w:t>
      </w:r>
      <w:r>
        <w:rPr>
          <w:rFonts w:ascii="TTE1DF63B8t00" w:hAnsi="TTE1DF63B8t00" w:cs="TTE1DF63B8t00"/>
          <w:color w:val="000000"/>
          <w:sz w:val="23"/>
          <w:szCs w:val="23"/>
        </w:rPr>
        <w:t>strofe y robo. A su vez la entidad receptora tendrá a su cargo la administración de los equipos y los costos de operación y mantención de éstos, tanto durante, como posterior a la ejecución del proyecto, como también la entidad receptora será responsable d</w:t>
      </w:r>
      <w:r>
        <w:rPr>
          <w:rFonts w:ascii="TTE1DF63B8t00" w:hAnsi="TTE1DF63B8t00" w:cs="TTE1DF63B8t00"/>
          <w:color w:val="000000"/>
          <w:sz w:val="23"/>
          <w:szCs w:val="23"/>
        </w:rPr>
        <w:t xml:space="preserve">e los daños contra terceros que el mal uso de dichos equipos pudiere ocasionar”. </w:t>
      </w:r>
    </w:p>
    <w:p w:rsidR="00000000" w:rsidRDefault="007433DA">
      <w:pPr>
        <w:pStyle w:val="Default"/>
        <w:pageBreakBefore/>
        <w:framePr w:w="1488" w:wrap="auto" w:vAnchor="page" w:hAnchor="page" w:x="1683" w:y="1404"/>
        <w:rPr>
          <w:rFonts w:ascii="TTE1DF63B8t00" w:hAnsi="TTE1DF63B8t00" w:cs="TTE1DF63B8t00"/>
          <w:sz w:val="23"/>
          <w:szCs w:val="23"/>
        </w:rPr>
      </w:pPr>
      <w:r>
        <w:rPr>
          <w:rFonts w:ascii="TTE1DF63B8t00" w:hAnsi="TTE1DF63B8t00" w:cs="TTE1DF63B8t00"/>
          <w:noProof/>
          <w:sz w:val="23"/>
          <w:szCs w:val="23"/>
        </w:rPr>
        <w:lastRenderedPageBreak/>
        <w:drawing>
          <wp:inline distT="0" distB="0" distL="0" distR="0">
            <wp:extent cx="447675" cy="56197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Default"/>
        <w:rPr>
          <w:rFonts w:cstheme="minorBidi"/>
          <w:color w:val="auto"/>
        </w:rPr>
      </w:pPr>
    </w:p>
    <w:p w:rsidR="00000000" w:rsidRDefault="001245BD">
      <w:pPr>
        <w:pStyle w:val="CM41"/>
        <w:spacing w:after="330" w:line="851" w:lineRule="atLeast"/>
        <w:ind w:left="582"/>
        <w:jc w:val="center"/>
        <w:rPr>
          <w:sz w:val="46"/>
          <w:szCs w:val="46"/>
        </w:rPr>
      </w:pPr>
      <w:r>
        <w:rPr>
          <w:sz w:val="46"/>
          <w:szCs w:val="46"/>
        </w:rPr>
        <w:t xml:space="preserve">ANEXO 1 FICHA DE PRESENTACION DE INICIATIVAS </w:t>
      </w:r>
    </w:p>
    <w:p w:rsidR="00000000" w:rsidRDefault="001245BD">
      <w:pPr>
        <w:pStyle w:val="CM36"/>
        <w:spacing w:after="177"/>
        <w:rPr>
          <w:rFonts w:ascii="Helvetica" w:hAnsi="Helvetica" w:cs="Helvetica"/>
          <w:sz w:val="27"/>
          <w:szCs w:val="27"/>
        </w:rPr>
      </w:pPr>
      <w:r>
        <w:rPr>
          <w:rFonts w:ascii="Helvetica" w:hAnsi="Helvetica" w:cs="Helvetica"/>
          <w:b/>
          <w:bCs/>
          <w:sz w:val="27"/>
          <w:szCs w:val="27"/>
        </w:rPr>
        <w:t xml:space="preserve">FICHA FIC REGIONAL AÑO 2012 </w:t>
      </w:r>
    </w:p>
    <w:p w:rsidR="00000000" w:rsidRDefault="001245BD">
      <w:pPr>
        <w:pStyle w:val="CM34"/>
        <w:spacing w:after="862" w:line="303" w:lineRule="atLeast"/>
        <w:jc w:val="center"/>
        <w:rPr>
          <w:rFonts w:cs="TTE23EEF90t00"/>
          <w:sz w:val="21"/>
          <w:szCs w:val="21"/>
        </w:rPr>
      </w:pPr>
      <w:r>
        <w:rPr>
          <w:rFonts w:cs="TTE23EEF90t00"/>
          <w:sz w:val="21"/>
          <w:szCs w:val="21"/>
        </w:rPr>
        <w:t>FONDO DE INNOVACION PARA L</w:t>
      </w:r>
      <w:r>
        <w:rPr>
          <w:rFonts w:cs="TTE23EEF90t00"/>
          <w:sz w:val="21"/>
          <w:szCs w:val="21"/>
        </w:rPr>
        <w:t xml:space="preserve">A COMPETITIVIDAD – 2012 </w:t>
      </w:r>
    </w:p>
    <w:p w:rsidR="00000000" w:rsidRDefault="001245BD">
      <w:pPr>
        <w:pStyle w:val="Default"/>
        <w:rPr>
          <w:rFonts w:cstheme="minorBidi"/>
          <w:color w:val="auto"/>
        </w:rPr>
      </w:pPr>
      <w:r>
        <w:rPr>
          <w:noProof/>
        </w:rPr>
        <w:pict>
          <v:shape id="_x0000_s1027" type="#_x0000_t202" style="position:absolute;margin-left:72.9pt;margin-top:295.6pt;width:500.7pt;height:193.7pt;z-index:2516592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097"/>
                    <w:gridCol w:w="695"/>
                    <w:gridCol w:w="653"/>
                    <w:gridCol w:w="227"/>
                    <w:gridCol w:w="308"/>
                    <w:gridCol w:w="50"/>
                    <w:gridCol w:w="172"/>
                    <w:gridCol w:w="265"/>
                    <w:gridCol w:w="210"/>
                    <w:gridCol w:w="123"/>
                    <w:gridCol w:w="272"/>
                    <w:gridCol w:w="280"/>
                    <w:gridCol w:w="58"/>
                    <w:gridCol w:w="255"/>
                    <w:gridCol w:w="95"/>
                    <w:gridCol w:w="350"/>
                    <w:gridCol w:w="525"/>
                    <w:gridCol w:w="157"/>
                    <w:gridCol w:w="27"/>
                    <w:gridCol w:w="278"/>
                    <w:gridCol w:w="242"/>
                    <w:gridCol w:w="253"/>
                    <w:gridCol w:w="128"/>
                    <w:gridCol w:w="572"/>
                    <w:gridCol w:w="350"/>
                    <w:gridCol w:w="350"/>
                    <w:gridCol w:w="432"/>
                    <w:gridCol w:w="6"/>
                    <w:gridCol w:w="426"/>
                    <w:gridCol w:w="38"/>
                    <w:gridCol w:w="377"/>
                    <w:gridCol w:w="415"/>
                  </w:tblGrid>
                  <w:tr w:rsidR="00000000">
                    <w:tblPrEx>
                      <w:tblCellMar>
                        <w:top w:w="0" w:type="dxa"/>
                        <w:bottom w:w="0" w:type="dxa"/>
                      </w:tblCellMar>
                    </w:tblPrEx>
                    <w:trPr>
                      <w:gridAfter w:val="2"/>
                      <w:wAfter w:w="391" w:type="dxa"/>
                      <w:trHeight w:val="258"/>
                    </w:trPr>
                    <w:tc>
                      <w:tcPr>
                        <w:tcW w:w="4077" w:type="dxa"/>
                        <w:gridSpan w:val="10"/>
                        <w:tcBorders>
                          <w:top w:val="single" w:sz="4"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Institución que presenta el proyecto: </w:t>
                        </w:r>
                      </w:p>
                    </w:tc>
                    <w:tc>
                      <w:tcPr>
                        <w:tcW w:w="2142" w:type="dxa"/>
                        <w:gridSpan w:val="10"/>
                        <w:tcBorders>
                          <w:top w:val="single" w:sz="4" w:space="0" w:color="000000"/>
                          <w:bottom w:val="single" w:sz="6" w:space="0" w:color="000000"/>
                        </w:tcBorders>
                      </w:tcPr>
                      <w:p w:rsidR="00000000" w:rsidRDefault="001245BD">
                        <w:pPr>
                          <w:pStyle w:val="Default"/>
                          <w:jc w:val="center"/>
                          <w:rPr>
                            <w:rFonts w:cstheme="minorBidi"/>
                            <w:color w:val="auto"/>
                          </w:rPr>
                        </w:pPr>
                      </w:p>
                    </w:tc>
                    <w:tc>
                      <w:tcPr>
                        <w:tcW w:w="2995" w:type="dxa"/>
                        <w:gridSpan w:val="11"/>
                        <w:tcBorders>
                          <w:top w:val="single" w:sz="4" w:space="0" w:color="000000"/>
                          <w:bottom w:val="single" w:sz="6" w:space="0" w:color="000000"/>
                          <w:right w:val="single" w:sz="14" w:space="0" w:color="000000"/>
                        </w:tcBorders>
                      </w:tcPr>
                      <w:p w:rsidR="00000000" w:rsidRDefault="001245BD">
                        <w:pPr>
                          <w:pStyle w:val="Default"/>
                          <w:jc w:val="right"/>
                          <w:rPr>
                            <w:rFonts w:cstheme="minorBidi"/>
                            <w:color w:val="auto"/>
                          </w:rPr>
                        </w:pPr>
                      </w:p>
                    </w:tc>
                  </w:tr>
                  <w:tr w:rsidR="00000000">
                    <w:tblPrEx>
                      <w:tblCellMar>
                        <w:top w:w="0" w:type="dxa"/>
                        <w:bottom w:w="0" w:type="dxa"/>
                      </w:tblCellMar>
                    </w:tblPrEx>
                    <w:trPr>
                      <w:gridAfter w:val="2"/>
                      <w:wAfter w:w="391" w:type="dxa"/>
                      <w:trHeight w:val="252"/>
                    </w:trPr>
                    <w:tc>
                      <w:tcPr>
                        <w:tcW w:w="4077" w:type="dxa"/>
                        <w:gridSpan w:val="10"/>
                        <w:tcBorders>
                          <w:top w:val="single" w:sz="6"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RUT </w:t>
                        </w:r>
                      </w:p>
                    </w:tc>
                    <w:tc>
                      <w:tcPr>
                        <w:tcW w:w="2142" w:type="dxa"/>
                        <w:gridSpan w:val="10"/>
                        <w:tcBorders>
                          <w:top w:val="single" w:sz="6" w:space="0" w:color="000000"/>
                          <w:bottom w:val="single" w:sz="6" w:space="0" w:color="000000"/>
                        </w:tcBorders>
                      </w:tcPr>
                      <w:p w:rsidR="00000000" w:rsidRDefault="001245BD">
                        <w:pPr>
                          <w:pStyle w:val="Default"/>
                          <w:jc w:val="center"/>
                          <w:rPr>
                            <w:rFonts w:ascii="TTE1D653F0t00" w:hAnsi="TTE1D653F0t00" w:cs="TTE1D653F0t00"/>
                            <w:sz w:val="21"/>
                            <w:szCs w:val="21"/>
                          </w:rPr>
                        </w:pPr>
                        <w:r>
                          <w:rPr>
                            <w:rFonts w:ascii="TTE1D653F0t00" w:hAnsi="TTE1D653F0t00" w:cs="TTE1D653F0t00"/>
                            <w:sz w:val="21"/>
                            <w:szCs w:val="21"/>
                          </w:rPr>
                          <w:t xml:space="preserve">Teléfonos </w:t>
                        </w:r>
                      </w:p>
                    </w:tc>
                    <w:tc>
                      <w:tcPr>
                        <w:tcW w:w="2995" w:type="dxa"/>
                        <w:gridSpan w:val="11"/>
                        <w:tcBorders>
                          <w:top w:val="single" w:sz="6" w:space="0" w:color="000000"/>
                          <w:bottom w:val="single" w:sz="6" w:space="0" w:color="000000"/>
                          <w:right w:val="single" w:sz="14" w:space="0" w:color="000000"/>
                        </w:tcBorders>
                      </w:tcPr>
                      <w:p w:rsidR="00000000" w:rsidRDefault="001245BD">
                        <w:pPr>
                          <w:pStyle w:val="Default"/>
                          <w:jc w:val="right"/>
                          <w:rPr>
                            <w:rFonts w:cstheme="minorBidi"/>
                            <w:color w:val="auto"/>
                          </w:rPr>
                        </w:pPr>
                      </w:p>
                    </w:tc>
                  </w:tr>
                  <w:tr w:rsidR="00000000">
                    <w:tblPrEx>
                      <w:tblCellMar>
                        <w:top w:w="0" w:type="dxa"/>
                        <w:bottom w:w="0" w:type="dxa"/>
                      </w:tblCellMar>
                    </w:tblPrEx>
                    <w:trPr>
                      <w:gridAfter w:val="2"/>
                      <w:wAfter w:w="391" w:type="dxa"/>
                      <w:trHeight w:val="253"/>
                    </w:trPr>
                    <w:tc>
                      <w:tcPr>
                        <w:tcW w:w="4077" w:type="dxa"/>
                        <w:gridSpan w:val="10"/>
                        <w:tcBorders>
                          <w:top w:val="single" w:sz="6"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Representante Legal: </w:t>
                        </w:r>
                      </w:p>
                    </w:tc>
                    <w:tc>
                      <w:tcPr>
                        <w:tcW w:w="2142" w:type="dxa"/>
                        <w:gridSpan w:val="10"/>
                        <w:tcBorders>
                          <w:top w:val="single" w:sz="6" w:space="0" w:color="000000"/>
                          <w:bottom w:val="single" w:sz="6" w:space="0" w:color="000000"/>
                        </w:tcBorders>
                      </w:tcPr>
                      <w:p w:rsidR="00000000" w:rsidRDefault="001245BD">
                        <w:pPr>
                          <w:pStyle w:val="Default"/>
                          <w:jc w:val="center"/>
                          <w:rPr>
                            <w:rFonts w:cstheme="minorBidi"/>
                            <w:color w:val="auto"/>
                          </w:rPr>
                        </w:pPr>
                      </w:p>
                    </w:tc>
                    <w:tc>
                      <w:tcPr>
                        <w:tcW w:w="2995" w:type="dxa"/>
                        <w:gridSpan w:val="11"/>
                        <w:tcBorders>
                          <w:top w:val="single" w:sz="6" w:space="0" w:color="000000"/>
                          <w:bottom w:val="single" w:sz="6" w:space="0" w:color="000000"/>
                          <w:right w:val="single" w:sz="14" w:space="0" w:color="000000"/>
                        </w:tcBorders>
                      </w:tcPr>
                      <w:p w:rsidR="00000000" w:rsidRDefault="001245BD">
                        <w:pPr>
                          <w:pStyle w:val="Default"/>
                          <w:jc w:val="right"/>
                          <w:rPr>
                            <w:rFonts w:cstheme="minorBidi"/>
                            <w:color w:val="auto"/>
                          </w:rPr>
                        </w:pPr>
                      </w:p>
                    </w:tc>
                  </w:tr>
                  <w:tr w:rsidR="00000000">
                    <w:tblPrEx>
                      <w:tblCellMar>
                        <w:top w:w="0" w:type="dxa"/>
                        <w:bottom w:w="0" w:type="dxa"/>
                      </w:tblCellMar>
                    </w:tblPrEx>
                    <w:trPr>
                      <w:gridAfter w:val="2"/>
                      <w:wAfter w:w="391" w:type="dxa"/>
                      <w:trHeight w:val="253"/>
                    </w:trPr>
                    <w:tc>
                      <w:tcPr>
                        <w:tcW w:w="4077" w:type="dxa"/>
                        <w:gridSpan w:val="10"/>
                        <w:tcBorders>
                          <w:top w:val="single" w:sz="6"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RUT Representante Legal: </w:t>
                        </w:r>
                      </w:p>
                    </w:tc>
                    <w:tc>
                      <w:tcPr>
                        <w:tcW w:w="2142" w:type="dxa"/>
                        <w:gridSpan w:val="10"/>
                        <w:tcBorders>
                          <w:top w:val="single" w:sz="6" w:space="0" w:color="000000"/>
                          <w:bottom w:val="single" w:sz="6" w:space="0" w:color="000000"/>
                        </w:tcBorders>
                      </w:tcPr>
                      <w:p w:rsidR="00000000" w:rsidRDefault="001245BD">
                        <w:pPr>
                          <w:pStyle w:val="Default"/>
                          <w:jc w:val="center"/>
                          <w:rPr>
                            <w:rFonts w:cstheme="minorBidi"/>
                            <w:color w:val="auto"/>
                          </w:rPr>
                        </w:pPr>
                      </w:p>
                    </w:tc>
                    <w:tc>
                      <w:tcPr>
                        <w:tcW w:w="2995" w:type="dxa"/>
                        <w:gridSpan w:val="11"/>
                        <w:tcBorders>
                          <w:top w:val="single" w:sz="6" w:space="0" w:color="000000"/>
                          <w:bottom w:val="single" w:sz="6" w:space="0" w:color="000000"/>
                          <w:right w:val="single" w:sz="14" w:space="0" w:color="000000"/>
                        </w:tcBorders>
                      </w:tcPr>
                      <w:p w:rsidR="00000000" w:rsidRDefault="001245BD">
                        <w:pPr>
                          <w:pStyle w:val="Default"/>
                          <w:jc w:val="right"/>
                          <w:rPr>
                            <w:rFonts w:cstheme="minorBidi"/>
                            <w:color w:val="auto"/>
                          </w:rPr>
                        </w:pPr>
                      </w:p>
                    </w:tc>
                  </w:tr>
                  <w:tr w:rsidR="00000000">
                    <w:tblPrEx>
                      <w:tblCellMar>
                        <w:top w:w="0" w:type="dxa"/>
                        <w:bottom w:w="0" w:type="dxa"/>
                      </w:tblCellMar>
                    </w:tblPrEx>
                    <w:trPr>
                      <w:gridAfter w:val="2"/>
                      <w:wAfter w:w="391" w:type="dxa"/>
                      <w:trHeight w:val="492"/>
                    </w:trPr>
                    <w:tc>
                      <w:tcPr>
                        <w:tcW w:w="4077" w:type="dxa"/>
                        <w:gridSpan w:val="10"/>
                        <w:tcBorders>
                          <w:top w:val="single" w:sz="6" w:space="0" w:color="000000"/>
                          <w:left w:val="single" w:sz="4" w:space="0" w:color="000000"/>
                          <w:bottom w:val="single" w:sz="8" w:space="0" w:color="000000"/>
                        </w:tcBorders>
                      </w:tcPr>
                      <w:p w:rsidR="00000000" w:rsidRDefault="001245BD">
                        <w:pPr>
                          <w:pStyle w:val="Default"/>
                          <w:rPr>
                            <w:rFonts w:cstheme="minorBidi"/>
                            <w:color w:val="auto"/>
                          </w:rPr>
                        </w:pPr>
                      </w:p>
                    </w:tc>
                    <w:tc>
                      <w:tcPr>
                        <w:tcW w:w="2142" w:type="dxa"/>
                        <w:gridSpan w:val="10"/>
                        <w:tcBorders>
                          <w:top w:val="single" w:sz="6" w:space="0" w:color="000000"/>
                          <w:bottom w:val="single" w:sz="8" w:space="0" w:color="000000"/>
                        </w:tcBorders>
                      </w:tcPr>
                      <w:p w:rsidR="00000000" w:rsidRDefault="001245BD">
                        <w:pPr>
                          <w:pStyle w:val="Default"/>
                          <w:jc w:val="center"/>
                          <w:rPr>
                            <w:rFonts w:cstheme="minorBidi"/>
                            <w:color w:val="auto"/>
                          </w:rPr>
                        </w:pPr>
                      </w:p>
                    </w:tc>
                    <w:tc>
                      <w:tcPr>
                        <w:tcW w:w="2995" w:type="dxa"/>
                        <w:gridSpan w:val="11"/>
                        <w:tcBorders>
                          <w:top w:val="single" w:sz="6" w:space="0" w:color="000000"/>
                          <w:bottom w:val="single" w:sz="8" w:space="0" w:color="000000"/>
                          <w:right w:val="single" w:sz="14" w:space="0" w:color="000000"/>
                        </w:tcBorders>
                        <w:vAlign w:val="center"/>
                      </w:tcPr>
                      <w:p w:rsidR="00000000" w:rsidRDefault="001245BD">
                        <w:pPr>
                          <w:pStyle w:val="Default"/>
                          <w:jc w:val="right"/>
                          <w:rPr>
                            <w:rFonts w:ascii="TTE1D653F0t00" w:hAnsi="TTE1D653F0t00" w:cs="TTE1D653F0t00"/>
                            <w:sz w:val="21"/>
                            <w:szCs w:val="21"/>
                          </w:rPr>
                        </w:pPr>
                        <w:r>
                          <w:rPr>
                            <w:rFonts w:ascii="TTE1D653F0t00" w:hAnsi="TTE1D653F0t00" w:cs="TTE1D653F0t00"/>
                            <w:sz w:val="21"/>
                            <w:szCs w:val="21"/>
                          </w:rPr>
                          <w:t xml:space="preserve">Firma Representante Legal: </w:t>
                        </w:r>
                      </w:p>
                    </w:tc>
                  </w:tr>
                  <w:tr w:rsidR="00000000">
                    <w:tblPrEx>
                      <w:tblCellMar>
                        <w:top w:w="0" w:type="dxa"/>
                        <w:bottom w:w="0" w:type="dxa"/>
                      </w:tblCellMar>
                    </w:tblPrEx>
                    <w:trPr>
                      <w:gridAfter w:val="2"/>
                      <w:wAfter w:w="391" w:type="dxa"/>
                      <w:trHeight w:val="252"/>
                    </w:trPr>
                    <w:tc>
                      <w:tcPr>
                        <w:tcW w:w="4077" w:type="dxa"/>
                        <w:gridSpan w:val="10"/>
                        <w:tcBorders>
                          <w:top w:val="single" w:sz="8" w:space="0" w:color="000000"/>
                          <w:left w:val="single" w:sz="4" w:space="0" w:color="000000"/>
                          <w:bottom w:val="single" w:sz="4"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NOMBRE DEL PROYECTO: </w:t>
                        </w:r>
                      </w:p>
                    </w:tc>
                    <w:tc>
                      <w:tcPr>
                        <w:tcW w:w="2142" w:type="dxa"/>
                        <w:gridSpan w:val="10"/>
                        <w:tcBorders>
                          <w:top w:val="single" w:sz="8" w:space="0" w:color="000000"/>
                          <w:bottom w:val="single" w:sz="4" w:space="0" w:color="000000"/>
                        </w:tcBorders>
                      </w:tcPr>
                      <w:p w:rsidR="00000000" w:rsidRDefault="001245BD">
                        <w:pPr>
                          <w:pStyle w:val="Default"/>
                          <w:jc w:val="center"/>
                          <w:rPr>
                            <w:rFonts w:cstheme="minorBidi"/>
                            <w:color w:val="auto"/>
                          </w:rPr>
                        </w:pPr>
                      </w:p>
                    </w:tc>
                    <w:tc>
                      <w:tcPr>
                        <w:tcW w:w="2995" w:type="dxa"/>
                        <w:gridSpan w:val="11"/>
                        <w:tcBorders>
                          <w:top w:val="single" w:sz="8" w:space="0" w:color="000000"/>
                          <w:bottom w:val="single" w:sz="4" w:space="0" w:color="000000"/>
                          <w:right w:val="single" w:sz="14" w:space="0" w:color="000000"/>
                        </w:tcBorders>
                      </w:tcPr>
                      <w:p w:rsidR="00000000" w:rsidRDefault="001245BD">
                        <w:pPr>
                          <w:pStyle w:val="Default"/>
                          <w:jc w:val="right"/>
                          <w:rPr>
                            <w:rFonts w:cstheme="minorBidi"/>
                            <w:color w:val="auto"/>
                          </w:rPr>
                        </w:pPr>
                      </w:p>
                    </w:tc>
                  </w:tr>
                </w:tbl>
              </w:txbxContent>
            </v:textbox>
            <w10:wrap type="through" anchorx="page" anchory="page"/>
          </v:shape>
        </w:pict>
      </w:r>
    </w:p>
    <w:p w:rsidR="00000000" w:rsidRDefault="001245BD">
      <w:pPr>
        <w:pStyle w:val="Default"/>
        <w:rPr>
          <w:rFonts w:cstheme="minorBidi"/>
          <w:color w:val="auto"/>
        </w:rPr>
      </w:pPr>
      <w:r>
        <w:rPr>
          <w:noProof/>
        </w:rPr>
        <w:pict>
          <v:shape id="_x0000_s1028" type="#_x0000_t202" style="position:absolute;margin-left:72.9pt;margin-top:497.65pt;width:501.5pt;height:262.85pt;z-index:2516602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097"/>
                    <w:gridCol w:w="695"/>
                    <w:gridCol w:w="653"/>
                    <w:gridCol w:w="227"/>
                    <w:gridCol w:w="308"/>
                    <w:gridCol w:w="50"/>
                    <w:gridCol w:w="172"/>
                    <w:gridCol w:w="265"/>
                    <w:gridCol w:w="333"/>
                    <w:gridCol w:w="272"/>
                    <w:gridCol w:w="280"/>
                    <w:gridCol w:w="58"/>
                    <w:gridCol w:w="255"/>
                    <w:gridCol w:w="95"/>
                    <w:gridCol w:w="350"/>
                    <w:gridCol w:w="525"/>
                    <w:gridCol w:w="157"/>
                    <w:gridCol w:w="305"/>
                    <w:gridCol w:w="242"/>
                    <w:gridCol w:w="253"/>
                    <w:gridCol w:w="128"/>
                    <w:gridCol w:w="572"/>
                    <w:gridCol w:w="350"/>
                    <w:gridCol w:w="350"/>
                    <w:gridCol w:w="432"/>
                    <w:gridCol w:w="6"/>
                    <w:gridCol w:w="426"/>
                    <w:gridCol w:w="38"/>
                    <w:gridCol w:w="377"/>
                    <w:gridCol w:w="415"/>
                  </w:tblGrid>
                  <w:tr w:rsidR="00000000">
                    <w:tblPrEx>
                      <w:tblCellMar>
                        <w:top w:w="0" w:type="dxa"/>
                        <w:bottom w:w="0" w:type="dxa"/>
                      </w:tblCellMar>
                    </w:tblPrEx>
                    <w:trPr>
                      <w:gridAfter w:val="2"/>
                      <w:wAfter w:w="382" w:type="dxa"/>
                      <w:trHeight w:val="260"/>
                    </w:trPr>
                    <w:tc>
                      <w:tcPr>
                        <w:tcW w:w="4200" w:type="dxa"/>
                        <w:gridSpan w:val="10"/>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Año de postulación: </w:t>
                        </w:r>
                      </w:p>
                    </w:tc>
                    <w:tc>
                      <w:tcPr>
                        <w:tcW w:w="5030" w:type="dxa"/>
                        <w:gridSpan w:val="19"/>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Periodo de ejecución del proyecto: </w:t>
                        </w:r>
                      </w:p>
                    </w:tc>
                  </w:tr>
                  <w:tr w:rsidR="00000000">
                    <w:tblPrEx>
                      <w:tblCellMar>
                        <w:top w:w="0" w:type="dxa"/>
                        <w:bottom w:w="0" w:type="dxa"/>
                      </w:tblCellMar>
                    </w:tblPrEx>
                    <w:trPr>
                      <w:gridAfter w:val="2"/>
                      <w:wAfter w:w="382" w:type="dxa"/>
                      <w:trHeight w:val="252"/>
                    </w:trPr>
                    <w:tc>
                      <w:tcPr>
                        <w:tcW w:w="4200" w:type="dxa"/>
                        <w:gridSpan w:val="10"/>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Fecha estimada de inicio del proyecto: </w:t>
                        </w:r>
                      </w:p>
                    </w:tc>
                    <w:tc>
                      <w:tcPr>
                        <w:tcW w:w="5030" w:type="dxa"/>
                        <w:gridSpan w:val="19"/>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Fecha estimada de término del proyecto: </w:t>
                        </w:r>
                      </w:p>
                    </w:tc>
                  </w:tr>
                  <w:tr w:rsidR="00000000">
                    <w:tblPrEx>
                      <w:tblCellMar>
                        <w:top w:w="0" w:type="dxa"/>
                        <w:bottom w:w="0" w:type="dxa"/>
                      </w:tblCellMar>
                    </w:tblPrEx>
                    <w:trPr>
                      <w:gridAfter w:val="2"/>
                      <w:wAfter w:w="382" w:type="dxa"/>
                      <w:trHeight w:val="788"/>
                    </w:trPr>
                    <w:tc>
                      <w:tcPr>
                        <w:tcW w:w="4200" w:type="dxa"/>
                        <w:gridSpan w:val="10"/>
                        <w:tcBorders>
                          <w:top w:val="single" w:sz="6"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Objetivo(s) del proyecto: </w:t>
                        </w:r>
                      </w:p>
                    </w:tc>
                    <w:tc>
                      <w:tcPr>
                        <w:tcW w:w="5030" w:type="dxa"/>
                        <w:gridSpan w:val="19"/>
                        <w:tcBorders>
                          <w:top w:val="single" w:sz="6"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gridAfter w:val="2"/>
                      <w:wAfter w:w="382" w:type="dxa"/>
                      <w:trHeight w:val="266"/>
                    </w:trPr>
                    <w:tc>
                      <w:tcPr>
                        <w:tcW w:w="4200" w:type="dxa"/>
                        <w:gridSpan w:val="10"/>
                        <w:tcBorders>
                          <w:top w:val="single" w:sz="6"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Descripción del proyecto: </w:t>
                        </w:r>
                      </w:p>
                    </w:tc>
                    <w:tc>
                      <w:tcPr>
                        <w:tcW w:w="5030" w:type="dxa"/>
                        <w:gridSpan w:val="19"/>
                        <w:tcBorders>
                          <w:top w:val="single" w:sz="6"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gridAfter w:val="2"/>
                      <w:wAfter w:w="382" w:type="dxa"/>
                      <w:trHeight w:val="266"/>
                    </w:trPr>
                    <w:tc>
                      <w:tcPr>
                        <w:tcW w:w="4200" w:type="dxa"/>
                        <w:gridSpan w:val="10"/>
                        <w:tcBorders>
                          <w:top w:val="single" w:sz="6"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Justificación del proyecto: </w:t>
                        </w:r>
                      </w:p>
                    </w:tc>
                    <w:tc>
                      <w:tcPr>
                        <w:tcW w:w="5030" w:type="dxa"/>
                        <w:gridSpan w:val="19"/>
                        <w:tcBorders>
                          <w:top w:val="single" w:sz="6"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gridAfter w:val="2"/>
                      <w:wAfter w:w="382" w:type="dxa"/>
                      <w:trHeight w:val="266"/>
                    </w:trPr>
                    <w:tc>
                      <w:tcPr>
                        <w:tcW w:w="4200" w:type="dxa"/>
                        <w:gridSpan w:val="10"/>
                        <w:tcBorders>
                          <w:top w:val="single" w:sz="6"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Resultados esperados del proyecto: </w:t>
                        </w:r>
                      </w:p>
                    </w:tc>
                    <w:tc>
                      <w:tcPr>
                        <w:tcW w:w="5030" w:type="dxa"/>
                        <w:gridSpan w:val="19"/>
                        <w:tcBorders>
                          <w:top w:val="single" w:sz="6"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gridAfter w:val="2"/>
                      <w:wAfter w:w="382" w:type="dxa"/>
                      <w:trHeight w:val="265"/>
                    </w:trPr>
                    <w:tc>
                      <w:tcPr>
                        <w:tcW w:w="4200" w:type="dxa"/>
                        <w:gridSpan w:val="10"/>
                        <w:tcBorders>
                          <w:top w:val="single" w:sz="6" w:space="0" w:color="000000"/>
                          <w:left w:val="single" w:sz="4" w:space="0" w:color="000000"/>
                          <w:bottom w:val="single" w:sz="4"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Productos a entregar al final del proyecto: </w:t>
                        </w:r>
                      </w:p>
                    </w:tc>
                    <w:tc>
                      <w:tcPr>
                        <w:tcW w:w="5030" w:type="dxa"/>
                        <w:gridSpan w:val="19"/>
                        <w:tcBorders>
                          <w:top w:val="single" w:sz="6" w:space="0" w:color="000000"/>
                          <w:bottom w:val="single" w:sz="4" w:space="0" w:color="000000"/>
                          <w:right w:val="single" w:sz="4" w:space="0" w:color="000000"/>
                        </w:tcBorders>
                      </w:tcPr>
                      <w:p w:rsidR="00000000" w:rsidRDefault="001245BD">
                        <w:pPr>
                          <w:pStyle w:val="Default"/>
                          <w:rPr>
                            <w:rFonts w:cstheme="minorBidi"/>
                            <w:color w:val="auto"/>
                          </w:rPr>
                        </w:pPr>
                      </w:p>
                    </w:tc>
                  </w:tr>
                </w:tbl>
              </w:txbxContent>
            </v:textbox>
            <w10:wrap type="through" anchorx="page" anchory="page"/>
          </v:shape>
        </w:pict>
      </w:r>
    </w:p>
    <w:p w:rsidR="00000000" w:rsidRDefault="007433DA">
      <w:pPr>
        <w:pStyle w:val="Default"/>
        <w:pageBreakBefore/>
        <w:framePr w:w="1488" w:wrap="auto" w:vAnchor="page" w:hAnchor="page" w:x="1683" w:y="1404"/>
        <w:spacing w:after="260"/>
        <w:rPr>
          <w:rFonts w:cstheme="minorBidi"/>
          <w:color w:val="auto"/>
        </w:rPr>
      </w:pPr>
      <w:r>
        <w:rPr>
          <w:rFonts w:cstheme="minorBidi"/>
          <w:noProof/>
          <w:color w:val="auto"/>
        </w:rPr>
        <w:lastRenderedPageBreak/>
        <w:drawing>
          <wp:inline distT="0" distB="0" distL="0" distR="0">
            <wp:extent cx="447675" cy="5619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jc w:val="both"/>
        <w:rPr>
          <w:rFonts w:cs="TTE23EEF90t00"/>
          <w:sz w:val="21"/>
          <w:szCs w:val="21"/>
        </w:rPr>
      </w:pPr>
      <w:r>
        <w:rPr>
          <w:rFonts w:cs="TTE23EEF90t00"/>
          <w:sz w:val="21"/>
          <w:szCs w:val="21"/>
        </w:rPr>
        <w:t xml:space="preserve">Cronograma de Actividades (Carta Gantt) </w:t>
      </w:r>
    </w:p>
    <w:p w:rsidR="00000000" w:rsidRDefault="001245BD">
      <w:pPr>
        <w:pStyle w:val="Default"/>
        <w:spacing w:line="193" w:lineRule="atLeast"/>
        <w:ind w:left="1090"/>
        <w:jc w:val="both"/>
        <w:rPr>
          <w:color w:val="auto"/>
          <w:sz w:val="15"/>
          <w:szCs w:val="15"/>
        </w:rPr>
      </w:pPr>
      <w:r>
        <w:rPr>
          <w:color w:val="auto"/>
          <w:sz w:val="15"/>
          <w:szCs w:val="15"/>
        </w:rPr>
        <w:t xml:space="preserve">N° meses </w:t>
      </w:r>
    </w:p>
    <w:p w:rsidR="00000000" w:rsidRDefault="001245BD">
      <w:pPr>
        <w:pStyle w:val="CM44"/>
        <w:spacing w:after="477" w:line="193" w:lineRule="atLeast"/>
        <w:ind w:right="2837"/>
        <w:jc w:val="both"/>
        <w:rPr>
          <w:rFonts w:cs="TTE23EEF90t00"/>
          <w:sz w:val="15"/>
          <w:szCs w:val="15"/>
        </w:rPr>
      </w:pPr>
      <w:r>
        <w:rPr>
          <w:rFonts w:cs="TTE23EEF90t00"/>
          <w:sz w:val="15"/>
          <w:szCs w:val="15"/>
        </w:rPr>
        <w:t xml:space="preserve">Duración del proyecto </w:t>
      </w:r>
    </w:p>
    <w:p w:rsidR="00000000" w:rsidRDefault="001245BD">
      <w:pPr>
        <w:pStyle w:val="Default"/>
        <w:rPr>
          <w:rFonts w:cstheme="minorBidi"/>
          <w:color w:val="auto"/>
        </w:rPr>
      </w:pPr>
      <w:r>
        <w:rPr>
          <w:noProof/>
        </w:rPr>
        <w:pict>
          <v:shape id="_x0000_s1029" type="#_x0000_t202" style="position:absolute;margin-left:72.9pt;margin-top:191.45pt;width:501.1pt;height:19.95pt;z-index:2516613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097"/>
                    <w:gridCol w:w="695"/>
                    <w:gridCol w:w="653"/>
                    <w:gridCol w:w="227"/>
                    <w:gridCol w:w="308"/>
                    <w:gridCol w:w="50"/>
                    <w:gridCol w:w="172"/>
                    <w:gridCol w:w="265"/>
                    <w:gridCol w:w="605"/>
                    <w:gridCol w:w="280"/>
                    <w:gridCol w:w="58"/>
                    <w:gridCol w:w="255"/>
                    <w:gridCol w:w="95"/>
                    <w:gridCol w:w="350"/>
                    <w:gridCol w:w="525"/>
                    <w:gridCol w:w="157"/>
                    <w:gridCol w:w="305"/>
                    <w:gridCol w:w="242"/>
                    <w:gridCol w:w="253"/>
                    <w:gridCol w:w="128"/>
                    <w:gridCol w:w="572"/>
                    <w:gridCol w:w="350"/>
                    <w:gridCol w:w="350"/>
                    <w:gridCol w:w="432"/>
                    <w:gridCol w:w="6"/>
                    <w:gridCol w:w="426"/>
                    <w:gridCol w:w="38"/>
                    <w:gridCol w:w="377"/>
                    <w:gridCol w:w="415"/>
                  </w:tblGrid>
                  <w:tr w:rsidR="00000000">
                    <w:tblPrEx>
                      <w:tblCellMar>
                        <w:top w:w="0" w:type="dxa"/>
                        <w:bottom w:w="0" w:type="dxa"/>
                      </w:tblCellMar>
                    </w:tblPrEx>
                    <w:trPr>
                      <w:gridAfter w:val="1"/>
                      <w:wAfter w:w="216" w:type="dxa"/>
                      <w:trHeight w:val="107"/>
                    </w:trPr>
                    <w:tc>
                      <w:tcPr>
                        <w:tcW w:w="4810" w:type="dxa"/>
                        <w:gridSpan w:val="12"/>
                        <w:vMerge w:val="restart"/>
                        <w:tcBorders>
                          <w:top w:val="single" w:sz="6" w:space="0" w:color="000000"/>
                          <w:left w:val="single" w:sz="6" w:space="0" w:color="000000"/>
                          <w:bottom w:val="single" w:sz="6" w:space="0" w:color="000000"/>
                          <w:right w:val="single" w:sz="4" w:space="0" w:color="000000"/>
                        </w:tcBorders>
                      </w:tcPr>
                      <w:p w:rsidR="00000000" w:rsidRDefault="001245BD">
                        <w:pPr>
                          <w:pStyle w:val="Default"/>
                          <w:rPr>
                            <w:sz w:val="15"/>
                            <w:szCs w:val="15"/>
                          </w:rPr>
                        </w:pPr>
                        <w:r>
                          <w:rPr>
                            <w:sz w:val="15"/>
                            <w:szCs w:val="15"/>
                          </w:rPr>
                          <w:t xml:space="preserve">Nombre de la Actividad: </w:t>
                        </w:r>
                      </w:p>
                    </w:tc>
                    <w:tc>
                      <w:tcPr>
                        <w:tcW w:w="350" w:type="dxa"/>
                        <w:gridSpan w:val="2"/>
                        <w:tcBorders>
                          <w:top w:val="single" w:sz="6" w:space="0" w:color="000000"/>
                          <w:left w:val="single" w:sz="4" w:space="0" w:color="000000"/>
                          <w:bottom w:val="single" w:sz="6" w:space="0" w:color="000000"/>
                        </w:tcBorders>
                      </w:tcPr>
                      <w:p w:rsidR="00000000" w:rsidRDefault="001245BD">
                        <w:pPr>
                          <w:pStyle w:val="Default"/>
                          <w:jc w:val="center"/>
                          <w:rPr>
                            <w:rFonts w:cstheme="minorBidi"/>
                            <w:color w:val="auto"/>
                          </w:rPr>
                        </w:pPr>
                      </w:p>
                    </w:tc>
                    <w:tc>
                      <w:tcPr>
                        <w:tcW w:w="350" w:type="dxa"/>
                        <w:tcBorders>
                          <w:top w:val="single" w:sz="6" w:space="0" w:color="000000"/>
                          <w:bottom w:val="single" w:sz="6" w:space="0" w:color="000000"/>
                        </w:tcBorders>
                      </w:tcPr>
                      <w:p w:rsidR="00000000" w:rsidRDefault="001245BD">
                        <w:pPr>
                          <w:pStyle w:val="Default"/>
                          <w:jc w:val="center"/>
                          <w:rPr>
                            <w:rFonts w:cstheme="minorBidi"/>
                            <w:color w:val="auto"/>
                          </w:rPr>
                        </w:pPr>
                      </w:p>
                    </w:tc>
                    <w:tc>
                      <w:tcPr>
                        <w:tcW w:w="350" w:type="dxa"/>
                        <w:tcBorders>
                          <w:top w:val="single" w:sz="6" w:space="0" w:color="000000"/>
                          <w:bottom w:val="single" w:sz="6"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bottom w:val="single" w:sz="6"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bottom w:val="single" w:sz="6" w:space="0" w:color="000000"/>
                        </w:tcBorders>
                      </w:tcPr>
                      <w:p w:rsidR="00000000" w:rsidRDefault="001245BD">
                        <w:pPr>
                          <w:pStyle w:val="Default"/>
                          <w:jc w:val="center"/>
                          <w:rPr>
                            <w:rFonts w:cstheme="minorBidi"/>
                            <w:color w:val="auto"/>
                          </w:rPr>
                        </w:pPr>
                      </w:p>
                    </w:tc>
                    <w:tc>
                      <w:tcPr>
                        <w:tcW w:w="700" w:type="dxa"/>
                        <w:gridSpan w:val="2"/>
                        <w:tcBorders>
                          <w:top w:val="single" w:sz="6" w:space="0" w:color="000000"/>
                          <w:bottom w:val="single" w:sz="6" w:space="0" w:color="000000"/>
                        </w:tcBorders>
                        <w:vAlign w:val="center"/>
                      </w:tcPr>
                      <w:p w:rsidR="00000000" w:rsidRDefault="001245BD">
                        <w:pPr>
                          <w:pStyle w:val="Default"/>
                          <w:jc w:val="center"/>
                          <w:rPr>
                            <w:sz w:val="15"/>
                            <w:szCs w:val="15"/>
                          </w:rPr>
                        </w:pPr>
                        <w:r>
                          <w:rPr>
                            <w:sz w:val="15"/>
                            <w:szCs w:val="15"/>
                          </w:rPr>
                          <w:t xml:space="preserve">Meses </w:t>
                        </w:r>
                      </w:p>
                    </w:tc>
                    <w:tc>
                      <w:tcPr>
                        <w:tcW w:w="350" w:type="dxa"/>
                        <w:tcBorders>
                          <w:top w:val="single" w:sz="6" w:space="0" w:color="000000"/>
                          <w:bottom w:val="single" w:sz="6" w:space="0" w:color="000000"/>
                        </w:tcBorders>
                      </w:tcPr>
                      <w:p w:rsidR="00000000" w:rsidRDefault="001245BD">
                        <w:pPr>
                          <w:pStyle w:val="Default"/>
                          <w:jc w:val="center"/>
                          <w:rPr>
                            <w:rFonts w:cstheme="minorBidi"/>
                            <w:color w:val="auto"/>
                          </w:rPr>
                        </w:pPr>
                      </w:p>
                    </w:tc>
                    <w:tc>
                      <w:tcPr>
                        <w:tcW w:w="350" w:type="dxa"/>
                        <w:tcBorders>
                          <w:top w:val="single" w:sz="6" w:space="0" w:color="000000"/>
                          <w:bottom w:val="single" w:sz="6" w:space="0" w:color="000000"/>
                        </w:tcBorders>
                      </w:tcPr>
                      <w:p w:rsidR="00000000" w:rsidRDefault="001245BD">
                        <w:pPr>
                          <w:pStyle w:val="Default"/>
                          <w:jc w:val="center"/>
                          <w:rPr>
                            <w:rFonts w:cstheme="minorBidi"/>
                            <w:color w:val="auto"/>
                          </w:rPr>
                        </w:pPr>
                      </w:p>
                    </w:tc>
                    <w:tc>
                      <w:tcPr>
                        <w:tcW w:w="432" w:type="dxa"/>
                        <w:tcBorders>
                          <w:top w:val="single" w:sz="6" w:space="0" w:color="000000"/>
                          <w:bottom w:val="single" w:sz="6"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bottom w:val="single" w:sz="6"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trHeight w:val="87"/>
                    </w:trPr>
                    <w:tc>
                      <w:tcPr>
                        <w:tcW w:w="4810" w:type="dxa"/>
                        <w:gridSpan w:val="12"/>
                        <w:vMerge/>
                        <w:tcBorders>
                          <w:top w:val="single" w:sz="6" w:space="0" w:color="000000"/>
                          <w:left w:val="single" w:sz="6" w:space="0" w:color="000000"/>
                          <w:bottom w:val="single" w:sz="6" w:space="0" w:color="000000"/>
                          <w:right w:val="single" w:sz="4" w:space="0" w:color="000000"/>
                        </w:tcBorders>
                      </w:tcPr>
                      <w:p w:rsidR="00000000" w:rsidRDefault="001245BD">
                        <w:pPr>
                          <w:pStyle w:val="Default"/>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3"/>
                            <w:szCs w:val="13"/>
                          </w:rPr>
                        </w:pPr>
                        <w:r>
                          <w:rPr>
                            <w:sz w:val="13"/>
                            <w:szCs w:val="13"/>
                          </w:rPr>
                          <w:t xml:space="preserve">1º </w:t>
                        </w:r>
                      </w:p>
                    </w:tc>
                    <w:tc>
                      <w:tcPr>
                        <w:tcW w:w="350" w:type="dxa"/>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2º </w:t>
                        </w:r>
                      </w:p>
                    </w:tc>
                    <w:tc>
                      <w:tcPr>
                        <w:tcW w:w="350" w:type="dxa"/>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3º </w:t>
                        </w:r>
                      </w:p>
                    </w:tc>
                    <w:tc>
                      <w:tcPr>
                        <w:tcW w:w="35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4º </w:t>
                        </w:r>
                      </w:p>
                    </w:tc>
                    <w:tc>
                      <w:tcPr>
                        <w:tcW w:w="35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5º </w:t>
                        </w:r>
                      </w:p>
                    </w:tc>
                    <w:tc>
                      <w:tcPr>
                        <w:tcW w:w="35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6º </w:t>
                        </w:r>
                      </w:p>
                    </w:tc>
                    <w:tc>
                      <w:tcPr>
                        <w:tcW w:w="350" w:type="dxa"/>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7º </w:t>
                        </w:r>
                      </w:p>
                    </w:tc>
                    <w:tc>
                      <w:tcPr>
                        <w:tcW w:w="350" w:type="dxa"/>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8ª </w:t>
                        </w:r>
                      </w:p>
                    </w:tc>
                    <w:tc>
                      <w:tcPr>
                        <w:tcW w:w="350" w:type="dxa"/>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9º </w:t>
                        </w:r>
                      </w:p>
                    </w:tc>
                    <w:tc>
                      <w:tcPr>
                        <w:tcW w:w="432"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10 </w:t>
                        </w:r>
                      </w:p>
                    </w:tc>
                    <w:tc>
                      <w:tcPr>
                        <w:tcW w:w="415"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11 </w:t>
                        </w:r>
                      </w:p>
                    </w:tc>
                    <w:tc>
                      <w:tcPr>
                        <w:tcW w:w="415" w:type="dxa"/>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13"/>
                            <w:szCs w:val="13"/>
                          </w:rPr>
                        </w:pPr>
                        <w:r>
                          <w:rPr>
                            <w:sz w:val="13"/>
                            <w:szCs w:val="13"/>
                          </w:rPr>
                          <w:t xml:space="preserve">12 </w:t>
                        </w:r>
                      </w:p>
                    </w:tc>
                  </w:tr>
                  <w:tr w:rsidR="00000000">
                    <w:tblPrEx>
                      <w:tblCellMar>
                        <w:top w:w="0" w:type="dxa"/>
                        <w:bottom w:w="0" w:type="dxa"/>
                      </w:tblCellMar>
                    </w:tblPrEx>
                    <w:trPr>
                      <w:trHeight w:val="101"/>
                    </w:trPr>
                    <w:tc>
                      <w:tcPr>
                        <w:tcW w:w="4810" w:type="dxa"/>
                        <w:gridSpan w:val="12"/>
                        <w:tcBorders>
                          <w:top w:val="single" w:sz="6" w:space="0" w:color="000000"/>
                          <w:left w:val="single" w:sz="6" w:space="0" w:color="000000"/>
                          <w:bottom w:val="single" w:sz="6" w:space="0" w:color="000000"/>
                          <w:right w:val="single" w:sz="4" w:space="0" w:color="000000"/>
                        </w:tcBorders>
                      </w:tcPr>
                      <w:p w:rsidR="00000000" w:rsidRDefault="001245BD">
                        <w:pPr>
                          <w:pStyle w:val="Default"/>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32"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trHeight w:val="98"/>
                    </w:trPr>
                    <w:tc>
                      <w:tcPr>
                        <w:tcW w:w="4810" w:type="dxa"/>
                        <w:gridSpan w:val="12"/>
                        <w:tcBorders>
                          <w:top w:val="single" w:sz="6" w:space="0" w:color="000000"/>
                          <w:left w:val="single" w:sz="6" w:space="0" w:color="000000"/>
                          <w:bottom w:val="single" w:sz="6" w:space="0" w:color="000000"/>
                          <w:right w:val="single" w:sz="4" w:space="0" w:color="000000"/>
                        </w:tcBorders>
                      </w:tcPr>
                      <w:p w:rsidR="00000000" w:rsidRDefault="001245BD">
                        <w:pPr>
                          <w:pStyle w:val="Default"/>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32"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trHeight w:val="101"/>
                    </w:trPr>
                    <w:tc>
                      <w:tcPr>
                        <w:tcW w:w="4810" w:type="dxa"/>
                        <w:gridSpan w:val="12"/>
                        <w:tcBorders>
                          <w:top w:val="single" w:sz="6" w:space="0" w:color="000000"/>
                          <w:left w:val="single" w:sz="6" w:space="0" w:color="000000"/>
                          <w:bottom w:val="single" w:sz="6" w:space="0" w:color="000000"/>
                          <w:right w:val="single" w:sz="4" w:space="0" w:color="000000"/>
                        </w:tcBorders>
                      </w:tcPr>
                      <w:p w:rsidR="00000000" w:rsidRDefault="001245BD">
                        <w:pPr>
                          <w:pStyle w:val="Default"/>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32"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trHeight w:val="100"/>
                    </w:trPr>
                    <w:tc>
                      <w:tcPr>
                        <w:tcW w:w="4810" w:type="dxa"/>
                        <w:gridSpan w:val="12"/>
                        <w:tcBorders>
                          <w:top w:val="single" w:sz="6" w:space="0" w:color="000000"/>
                          <w:left w:val="single" w:sz="6" w:space="0" w:color="000000"/>
                          <w:bottom w:val="single" w:sz="6" w:space="0" w:color="000000"/>
                          <w:right w:val="single" w:sz="4" w:space="0" w:color="000000"/>
                        </w:tcBorders>
                      </w:tcPr>
                      <w:p w:rsidR="00000000" w:rsidRDefault="001245BD">
                        <w:pPr>
                          <w:pStyle w:val="Default"/>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32"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trHeight w:val="101"/>
                    </w:trPr>
                    <w:tc>
                      <w:tcPr>
                        <w:tcW w:w="4810" w:type="dxa"/>
                        <w:gridSpan w:val="12"/>
                        <w:tcBorders>
                          <w:top w:val="single" w:sz="6" w:space="0" w:color="000000"/>
                          <w:left w:val="single" w:sz="6" w:space="0" w:color="000000"/>
                          <w:bottom w:val="single" w:sz="6" w:space="0" w:color="000000"/>
                          <w:right w:val="single" w:sz="4" w:space="0" w:color="000000"/>
                        </w:tcBorders>
                      </w:tcPr>
                      <w:p w:rsidR="00000000" w:rsidRDefault="001245BD">
                        <w:pPr>
                          <w:pStyle w:val="Default"/>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32"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trHeight w:val="98"/>
                    </w:trPr>
                    <w:tc>
                      <w:tcPr>
                        <w:tcW w:w="4810" w:type="dxa"/>
                        <w:gridSpan w:val="12"/>
                        <w:tcBorders>
                          <w:top w:val="single" w:sz="6" w:space="0" w:color="000000"/>
                          <w:left w:val="single" w:sz="6" w:space="0" w:color="000000"/>
                          <w:bottom w:val="single" w:sz="6" w:space="0" w:color="000000"/>
                          <w:right w:val="single" w:sz="4" w:space="0" w:color="000000"/>
                        </w:tcBorders>
                      </w:tcPr>
                      <w:p w:rsidR="00000000" w:rsidRDefault="001245BD">
                        <w:pPr>
                          <w:pStyle w:val="Default"/>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32"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trHeight w:val="101"/>
                    </w:trPr>
                    <w:tc>
                      <w:tcPr>
                        <w:tcW w:w="4810" w:type="dxa"/>
                        <w:gridSpan w:val="12"/>
                        <w:tcBorders>
                          <w:top w:val="single" w:sz="6" w:space="0" w:color="000000"/>
                          <w:left w:val="single" w:sz="6" w:space="0" w:color="000000"/>
                          <w:bottom w:val="single" w:sz="6" w:space="0" w:color="000000"/>
                          <w:right w:val="single" w:sz="4" w:space="0" w:color="000000"/>
                        </w:tcBorders>
                      </w:tcPr>
                      <w:p w:rsidR="00000000" w:rsidRDefault="001245BD">
                        <w:pPr>
                          <w:pStyle w:val="Default"/>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35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32"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415" w:type="dxa"/>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cstheme="minorBidi"/>
                            <w:color w:val="auto"/>
                          </w:rPr>
                        </w:pPr>
                      </w:p>
                    </w:tc>
                  </w:tr>
                </w:tbl>
              </w:txbxContent>
            </v:textbox>
            <w10:wrap type="through" anchorx="page" anchory="page"/>
          </v:shape>
        </w:pict>
      </w:r>
    </w:p>
    <w:p w:rsidR="00000000" w:rsidRDefault="001245BD">
      <w:pPr>
        <w:pStyle w:val="CM37"/>
        <w:spacing w:after="277"/>
        <w:jc w:val="both"/>
        <w:rPr>
          <w:sz w:val="21"/>
          <w:szCs w:val="21"/>
        </w:rPr>
      </w:pPr>
      <w:r>
        <w:rPr>
          <w:sz w:val="21"/>
          <w:szCs w:val="21"/>
        </w:rPr>
        <w:t xml:space="preserve">PRESUPUESTO DETALLADO </w:t>
      </w:r>
    </w:p>
    <w:p w:rsidR="00000000" w:rsidRDefault="001245BD">
      <w:pPr>
        <w:pStyle w:val="CM36"/>
        <w:spacing w:after="177" w:line="243" w:lineRule="atLeast"/>
        <w:jc w:val="both"/>
        <w:rPr>
          <w:rFonts w:ascii="TTE1D653F0t00" w:hAnsi="TTE1D653F0t00" w:cs="TTE1D653F0t00"/>
          <w:sz w:val="19"/>
          <w:szCs w:val="19"/>
        </w:rPr>
      </w:pPr>
      <w:r>
        <w:rPr>
          <w:rFonts w:ascii="TTE1D653F0t00" w:hAnsi="TTE1D653F0t00" w:cs="TTE1D653F0t00"/>
          <w:sz w:val="19"/>
          <w:szCs w:val="19"/>
        </w:rPr>
        <w:t>Deben contemplar las siguientes partidas: Gastos Recursos Humanos, Gastos de Operación, Gastos de Inversión, Gastos de Difusión, Gastos en Imprevistos, Gastos de Administración, segú</w:t>
      </w:r>
      <w:r>
        <w:rPr>
          <w:rFonts w:ascii="TTE1D653F0t00" w:hAnsi="TTE1D653F0t00" w:cs="TTE1D653F0t00"/>
          <w:sz w:val="19"/>
          <w:szCs w:val="19"/>
        </w:rPr>
        <w:t xml:space="preserve">n lo establecido en estas Bases. En el caso de no considerar gastos en alguna de las partidas, indicar en el total 0 pesos. Observe que el total presupuestado debe coincidir con el monto total en Fuentes de Financiamiento, cuadro final. </w:t>
      </w:r>
    </w:p>
    <w:p w:rsidR="00000000" w:rsidRDefault="001245BD">
      <w:pPr>
        <w:pStyle w:val="CM41"/>
        <w:spacing w:after="330"/>
        <w:jc w:val="both"/>
        <w:rPr>
          <w:rFonts w:cs="TTE23EEF90t00"/>
          <w:sz w:val="21"/>
          <w:szCs w:val="21"/>
        </w:rPr>
      </w:pPr>
      <w:r>
        <w:rPr>
          <w:rFonts w:cs="TTE23EEF90t00"/>
          <w:sz w:val="21"/>
          <w:szCs w:val="21"/>
        </w:rPr>
        <w:t>Solicitado Provisi</w:t>
      </w:r>
      <w:r>
        <w:rPr>
          <w:rFonts w:cs="TTE23EEF90t00"/>
          <w:sz w:val="21"/>
          <w:szCs w:val="21"/>
        </w:rPr>
        <w:t xml:space="preserve">ón FIC </w:t>
      </w:r>
    </w:p>
    <w:p w:rsidR="00000000" w:rsidRDefault="001245BD">
      <w:pPr>
        <w:pStyle w:val="Default"/>
        <w:rPr>
          <w:rFonts w:cstheme="minorBidi"/>
          <w:color w:val="auto"/>
        </w:rPr>
      </w:pPr>
      <w:r>
        <w:rPr>
          <w:noProof/>
        </w:rPr>
        <w:pict>
          <v:shape id="_x0000_s1030" type="#_x0000_t202" style="position:absolute;margin-left:72.9pt;margin-top:417.2pt;width:481.5pt;height:105.3pt;z-index:2516623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097"/>
                    <w:gridCol w:w="695"/>
                    <w:gridCol w:w="653"/>
                    <w:gridCol w:w="227"/>
                    <w:gridCol w:w="308"/>
                    <w:gridCol w:w="50"/>
                    <w:gridCol w:w="172"/>
                    <w:gridCol w:w="265"/>
                    <w:gridCol w:w="605"/>
                    <w:gridCol w:w="280"/>
                    <w:gridCol w:w="58"/>
                    <w:gridCol w:w="255"/>
                    <w:gridCol w:w="95"/>
                    <w:gridCol w:w="875"/>
                    <w:gridCol w:w="157"/>
                    <w:gridCol w:w="547"/>
                    <w:gridCol w:w="253"/>
                    <w:gridCol w:w="128"/>
                    <w:gridCol w:w="1710"/>
                    <w:gridCol w:w="426"/>
                    <w:gridCol w:w="38"/>
                  </w:tblGrid>
                  <w:tr w:rsidR="00000000">
                    <w:tblPrEx>
                      <w:tblCellMar>
                        <w:top w:w="0" w:type="dxa"/>
                        <w:bottom w:w="0" w:type="dxa"/>
                      </w:tblCellMar>
                    </w:tblPrEx>
                    <w:trPr>
                      <w:gridAfter w:val="2"/>
                      <w:wAfter w:w="583" w:type="dxa"/>
                      <w:trHeight w:val="201"/>
                    </w:trPr>
                    <w:tc>
                      <w:tcPr>
                        <w:tcW w:w="2845" w:type="dxa"/>
                        <w:gridSpan w:val="4"/>
                        <w:tcBorders>
                          <w:top w:val="single" w:sz="6" w:space="0" w:color="000000"/>
                          <w:left w:val="single" w:sz="4" w:space="0" w:color="000000"/>
                          <w:bottom w:val="single" w:sz="6" w:space="0" w:color="000000"/>
                          <w:right w:val="single" w:sz="4" w:space="0" w:color="000000"/>
                        </w:tcBorders>
                        <w:vAlign w:val="bottom"/>
                      </w:tcPr>
                      <w:p w:rsidR="00000000" w:rsidRDefault="001245BD">
                        <w:pPr>
                          <w:pStyle w:val="Default"/>
                          <w:rPr>
                            <w:sz w:val="15"/>
                            <w:szCs w:val="15"/>
                          </w:rPr>
                        </w:pPr>
                        <w:r>
                          <w:rPr>
                            <w:sz w:val="15"/>
                            <w:szCs w:val="15"/>
                          </w:rPr>
                          <w:t xml:space="preserve">Partidas (Detallar) </w:t>
                        </w:r>
                      </w:p>
                    </w:tc>
                    <w:tc>
                      <w:tcPr>
                        <w:tcW w:w="2220" w:type="dxa"/>
                        <w:gridSpan w:val="9"/>
                        <w:tcBorders>
                          <w:top w:val="single" w:sz="6" w:space="0" w:color="000000"/>
                          <w:left w:val="single" w:sz="4" w:space="0" w:color="000000"/>
                          <w:bottom w:val="single" w:sz="6" w:space="0" w:color="000000"/>
                          <w:right w:val="single" w:sz="4" w:space="0" w:color="000000"/>
                        </w:tcBorders>
                        <w:vAlign w:val="bottom"/>
                      </w:tcPr>
                      <w:p w:rsidR="00000000" w:rsidRDefault="001245BD">
                        <w:pPr>
                          <w:pStyle w:val="Default"/>
                          <w:jc w:val="center"/>
                          <w:rPr>
                            <w:sz w:val="15"/>
                            <w:szCs w:val="15"/>
                          </w:rPr>
                        </w:pPr>
                        <w:r>
                          <w:rPr>
                            <w:sz w:val="15"/>
                            <w:szCs w:val="15"/>
                          </w:rPr>
                          <w:t xml:space="preserve">Costo Unitario </w:t>
                        </w:r>
                      </w:p>
                    </w:tc>
                    <w:tc>
                      <w:tcPr>
                        <w:tcW w:w="2055" w:type="dxa"/>
                        <w:gridSpan w:val="6"/>
                        <w:tcBorders>
                          <w:top w:val="single" w:sz="6" w:space="0" w:color="000000"/>
                          <w:left w:val="single" w:sz="4" w:space="0" w:color="000000"/>
                          <w:bottom w:val="single" w:sz="6" w:space="0" w:color="000000"/>
                          <w:right w:val="single" w:sz="4" w:space="0" w:color="000000"/>
                        </w:tcBorders>
                        <w:vAlign w:val="bottom"/>
                      </w:tcPr>
                      <w:p w:rsidR="00000000" w:rsidRDefault="001245BD">
                        <w:pPr>
                          <w:pStyle w:val="Default"/>
                          <w:jc w:val="center"/>
                          <w:rPr>
                            <w:sz w:val="15"/>
                            <w:szCs w:val="15"/>
                          </w:rPr>
                        </w:pPr>
                        <w:r>
                          <w:rPr>
                            <w:sz w:val="15"/>
                            <w:szCs w:val="15"/>
                          </w:rPr>
                          <w:t xml:space="preserve">Cantidad </w:t>
                        </w:r>
                      </w:p>
                    </w:tc>
                    <w:tc>
                      <w:tcPr>
                        <w:tcW w:w="1710" w:type="dxa"/>
                        <w:tcBorders>
                          <w:top w:val="single" w:sz="6" w:space="0" w:color="000000"/>
                          <w:left w:val="single" w:sz="4" w:space="0" w:color="000000"/>
                          <w:bottom w:val="single" w:sz="6" w:space="0" w:color="000000"/>
                          <w:right w:val="single" w:sz="4" w:space="0" w:color="000000"/>
                        </w:tcBorders>
                        <w:vAlign w:val="bottom"/>
                      </w:tcPr>
                      <w:p w:rsidR="00000000" w:rsidRDefault="001245BD">
                        <w:pPr>
                          <w:pStyle w:val="Default"/>
                          <w:jc w:val="center"/>
                          <w:rPr>
                            <w:sz w:val="15"/>
                            <w:szCs w:val="15"/>
                          </w:rPr>
                        </w:pPr>
                        <w:r>
                          <w:rPr>
                            <w:sz w:val="15"/>
                            <w:szCs w:val="15"/>
                          </w:rPr>
                          <w:t xml:space="preserve">Total </w:t>
                        </w:r>
                      </w:p>
                    </w:tc>
                  </w:tr>
                  <w:tr w:rsidR="00000000">
                    <w:tblPrEx>
                      <w:tblCellMar>
                        <w:top w:w="0" w:type="dxa"/>
                        <w:bottom w:w="0" w:type="dxa"/>
                      </w:tblCellMar>
                    </w:tblPrEx>
                    <w:trPr>
                      <w:gridAfter w:val="2"/>
                      <w:wAfter w:w="583" w:type="dxa"/>
                      <w:trHeight w:val="10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1.-Gastos Recursos Humanos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00"/>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2.-Gastos Operación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00"/>
                    </w:trPr>
                    <w:tc>
                      <w:tcPr>
                        <w:tcW w:w="2845" w:type="dxa"/>
                        <w:gridSpan w:val="4"/>
                        <w:tcBorders>
                          <w:top w:val="single" w:sz="6" w:space="0" w:color="000000"/>
                          <w:left w:val="single" w:sz="4" w:space="0" w:color="000000"/>
                          <w:bottom w:val="single" w:sz="4" w:space="0" w:color="000000"/>
                          <w:right w:val="single" w:sz="4" w:space="0" w:color="000000"/>
                        </w:tcBorders>
                        <w:vAlign w:val="center"/>
                      </w:tcPr>
                      <w:p w:rsidR="00000000" w:rsidRDefault="001245BD">
                        <w:pPr>
                          <w:pStyle w:val="Default"/>
                          <w:rPr>
                            <w:sz w:val="15"/>
                            <w:szCs w:val="15"/>
                          </w:rPr>
                        </w:pPr>
                        <w:r>
                          <w:rPr>
                            <w:sz w:val="15"/>
                            <w:szCs w:val="15"/>
                          </w:rPr>
                          <w:t xml:space="preserve">3.-Gastos de Inversión </w:t>
                        </w:r>
                      </w:p>
                    </w:tc>
                    <w:tc>
                      <w:tcPr>
                        <w:tcW w:w="2220" w:type="dxa"/>
                        <w:gridSpan w:val="9"/>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00"/>
                    </w:trPr>
                    <w:tc>
                      <w:tcPr>
                        <w:tcW w:w="2845" w:type="dxa"/>
                        <w:gridSpan w:val="4"/>
                        <w:tcBorders>
                          <w:top w:val="single" w:sz="4"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4.-Gastos de Difusión </w:t>
                        </w:r>
                      </w:p>
                    </w:tc>
                    <w:tc>
                      <w:tcPr>
                        <w:tcW w:w="2220" w:type="dxa"/>
                        <w:gridSpan w:val="9"/>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0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5.-Gastos en Imprevistos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0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6.-Gastos de Administración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98"/>
                    </w:trPr>
                    <w:tc>
                      <w:tcPr>
                        <w:tcW w:w="2845" w:type="dxa"/>
                        <w:gridSpan w:val="4"/>
                        <w:tcBorders>
                          <w:top w:val="single" w:sz="6" w:space="0" w:color="000000"/>
                          <w:left w:val="single" w:sz="4" w:space="0" w:color="000000"/>
                          <w:bottom w:val="single" w:sz="6" w:space="0" w:color="000000"/>
                          <w:right w:val="single" w:sz="4" w:space="0" w:color="000000"/>
                        </w:tcBorders>
                      </w:tcPr>
                      <w:p w:rsidR="00000000" w:rsidRDefault="001245BD">
                        <w:pPr>
                          <w:pStyle w:val="Default"/>
                          <w:rPr>
                            <w:rFonts w:cstheme="minorBidi"/>
                            <w:color w:val="auto"/>
                          </w:rPr>
                        </w:pP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0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TOTAL CON IMPUESTOS INCLUIDOS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bl>
              </w:txbxContent>
            </v:textbox>
            <w10:wrap type="through" anchorx="page" anchory="page"/>
          </v:shape>
        </w:pict>
      </w:r>
    </w:p>
    <w:p w:rsidR="00000000" w:rsidRDefault="001245BD">
      <w:pPr>
        <w:pStyle w:val="CM41"/>
        <w:spacing w:after="330"/>
        <w:jc w:val="center"/>
        <w:rPr>
          <w:sz w:val="21"/>
          <w:szCs w:val="21"/>
        </w:rPr>
      </w:pPr>
      <w:r>
        <w:rPr>
          <w:sz w:val="21"/>
          <w:szCs w:val="21"/>
        </w:rPr>
        <w:t xml:space="preserve">Aportes Entidad Ejecutora (Detallar) </w:t>
      </w:r>
    </w:p>
    <w:p w:rsidR="00000000" w:rsidRDefault="001245BD">
      <w:pPr>
        <w:pStyle w:val="Default"/>
        <w:rPr>
          <w:rFonts w:cstheme="minorBidi"/>
          <w:color w:val="auto"/>
        </w:rPr>
      </w:pPr>
      <w:r>
        <w:rPr>
          <w:noProof/>
        </w:rPr>
        <w:pict>
          <v:shape id="_x0000_s1031" type="#_x0000_t202" style="position:absolute;margin-left:72.9pt;margin-top:563.95pt;width:481.5pt;height:117.9pt;z-index:25166336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097"/>
                    <w:gridCol w:w="695"/>
                    <w:gridCol w:w="653"/>
                    <w:gridCol w:w="227"/>
                    <w:gridCol w:w="308"/>
                    <w:gridCol w:w="50"/>
                    <w:gridCol w:w="172"/>
                    <w:gridCol w:w="265"/>
                    <w:gridCol w:w="605"/>
                    <w:gridCol w:w="280"/>
                    <w:gridCol w:w="58"/>
                    <w:gridCol w:w="255"/>
                    <w:gridCol w:w="95"/>
                    <w:gridCol w:w="875"/>
                    <w:gridCol w:w="157"/>
                    <w:gridCol w:w="547"/>
                    <w:gridCol w:w="253"/>
                    <w:gridCol w:w="128"/>
                    <w:gridCol w:w="1710"/>
                    <w:gridCol w:w="426"/>
                    <w:gridCol w:w="38"/>
                  </w:tblGrid>
                  <w:tr w:rsidR="00000000">
                    <w:tblPrEx>
                      <w:tblCellMar>
                        <w:top w:w="0" w:type="dxa"/>
                        <w:bottom w:w="0" w:type="dxa"/>
                      </w:tblCellMar>
                    </w:tblPrEx>
                    <w:trPr>
                      <w:gridAfter w:val="2"/>
                      <w:wAfter w:w="583" w:type="dxa"/>
                      <w:trHeight w:val="226"/>
                    </w:trPr>
                    <w:tc>
                      <w:tcPr>
                        <w:tcW w:w="2845" w:type="dxa"/>
                        <w:gridSpan w:val="4"/>
                        <w:tcBorders>
                          <w:top w:val="single" w:sz="6" w:space="0" w:color="000000"/>
                          <w:left w:val="single" w:sz="4" w:space="0" w:color="000000"/>
                          <w:bottom w:val="single" w:sz="6" w:space="0" w:color="000000"/>
                          <w:right w:val="single" w:sz="4" w:space="0" w:color="000000"/>
                        </w:tcBorders>
                        <w:vAlign w:val="bottom"/>
                      </w:tcPr>
                      <w:p w:rsidR="00000000" w:rsidRDefault="001245BD">
                        <w:pPr>
                          <w:pStyle w:val="Default"/>
                          <w:rPr>
                            <w:sz w:val="17"/>
                            <w:szCs w:val="17"/>
                          </w:rPr>
                        </w:pPr>
                        <w:r>
                          <w:rPr>
                            <w:sz w:val="17"/>
                            <w:szCs w:val="17"/>
                          </w:rPr>
                          <w:t xml:space="preserve">Partidas (Detallar) </w:t>
                        </w:r>
                      </w:p>
                    </w:tc>
                    <w:tc>
                      <w:tcPr>
                        <w:tcW w:w="2220" w:type="dxa"/>
                        <w:gridSpan w:val="9"/>
                        <w:tcBorders>
                          <w:top w:val="single" w:sz="6" w:space="0" w:color="000000"/>
                          <w:left w:val="single" w:sz="4" w:space="0" w:color="000000"/>
                          <w:bottom w:val="single" w:sz="6" w:space="0" w:color="000000"/>
                          <w:right w:val="single" w:sz="4" w:space="0" w:color="000000"/>
                        </w:tcBorders>
                        <w:vAlign w:val="bottom"/>
                      </w:tcPr>
                      <w:p w:rsidR="00000000" w:rsidRDefault="001245BD">
                        <w:pPr>
                          <w:pStyle w:val="Default"/>
                          <w:jc w:val="center"/>
                          <w:rPr>
                            <w:sz w:val="17"/>
                            <w:szCs w:val="17"/>
                          </w:rPr>
                        </w:pPr>
                        <w:r>
                          <w:rPr>
                            <w:sz w:val="17"/>
                            <w:szCs w:val="17"/>
                          </w:rPr>
                          <w:t xml:space="preserve">Costo Unitario </w:t>
                        </w:r>
                      </w:p>
                    </w:tc>
                    <w:tc>
                      <w:tcPr>
                        <w:tcW w:w="2055" w:type="dxa"/>
                        <w:gridSpan w:val="6"/>
                        <w:tcBorders>
                          <w:top w:val="single" w:sz="6" w:space="0" w:color="000000"/>
                          <w:left w:val="single" w:sz="4" w:space="0" w:color="000000"/>
                          <w:bottom w:val="single" w:sz="6" w:space="0" w:color="000000"/>
                          <w:right w:val="single" w:sz="4" w:space="0" w:color="000000"/>
                        </w:tcBorders>
                        <w:vAlign w:val="bottom"/>
                      </w:tcPr>
                      <w:p w:rsidR="00000000" w:rsidRDefault="001245BD">
                        <w:pPr>
                          <w:pStyle w:val="Default"/>
                          <w:jc w:val="center"/>
                          <w:rPr>
                            <w:sz w:val="17"/>
                            <w:szCs w:val="17"/>
                          </w:rPr>
                        </w:pPr>
                        <w:r>
                          <w:rPr>
                            <w:sz w:val="17"/>
                            <w:szCs w:val="17"/>
                          </w:rPr>
                          <w:t xml:space="preserve">Cantidad </w:t>
                        </w:r>
                      </w:p>
                    </w:tc>
                    <w:tc>
                      <w:tcPr>
                        <w:tcW w:w="1710" w:type="dxa"/>
                        <w:tcBorders>
                          <w:top w:val="single" w:sz="6" w:space="0" w:color="000000"/>
                          <w:left w:val="single" w:sz="4" w:space="0" w:color="000000"/>
                          <w:bottom w:val="single" w:sz="6" w:space="0" w:color="000000"/>
                          <w:right w:val="single" w:sz="4" w:space="0" w:color="000000"/>
                        </w:tcBorders>
                        <w:vAlign w:val="bottom"/>
                      </w:tcPr>
                      <w:p w:rsidR="00000000" w:rsidRDefault="001245BD">
                        <w:pPr>
                          <w:pStyle w:val="Default"/>
                          <w:jc w:val="center"/>
                          <w:rPr>
                            <w:sz w:val="17"/>
                            <w:szCs w:val="17"/>
                          </w:rPr>
                        </w:pPr>
                        <w:r>
                          <w:rPr>
                            <w:sz w:val="17"/>
                            <w:szCs w:val="17"/>
                          </w:rPr>
                          <w:t xml:space="preserve">Total </w:t>
                        </w:r>
                      </w:p>
                    </w:tc>
                  </w:tr>
                  <w:tr w:rsidR="00000000">
                    <w:tblPrEx>
                      <w:tblCellMar>
                        <w:top w:w="0" w:type="dxa"/>
                        <w:bottom w:w="0" w:type="dxa"/>
                      </w:tblCellMar>
                    </w:tblPrEx>
                    <w:trPr>
                      <w:gridAfter w:val="2"/>
                      <w:wAfter w:w="583" w:type="dxa"/>
                      <w:trHeight w:val="11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1.-Gastos Recursos Humanos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1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2.-Gastos Operación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12"/>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3.-Gastos de Inversión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1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4.-Gastos de Difusión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1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5.-</w:t>
                        </w:r>
                        <w:r>
                          <w:rPr>
                            <w:sz w:val="15"/>
                            <w:szCs w:val="15"/>
                          </w:rPr>
                          <w:t xml:space="preserve">Gastos en Imprevistos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11"/>
                    </w:trPr>
                    <w:tc>
                      <w:tcPr>
                        <w:tcW w:w="2845" w:type="dxa"/>
                        <w:gridSpan w:val="4"/>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5"/>
                            <w:szCs w:val="15"/>
                          </w:rPr>
                          <w:t xml:space="preserve">6.-Gastos de Administración </w:t>
                        </w:r>
                      </w:p>
                    </w:tc>
                    <w:tc>
                      <w:tcPr>
                        <w:tcW w:w="2220"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11"/>
                    </w:trPr>
                    <w:tc>
                      <w:tcPr>
                        <w:tcW w:w="2845" w:type="dxa"/>
                        <w:gridSpan w:val="4"/>
                        <w:tcBorders>
                          <w:top w:val="single" w:sz="6" w:space="0" w:color="000000"/>
                          <w:left w:val="single" w:sz="4" w:space="0" w:color="000000"/>
                          <w:bottom w:val="single" w:sz="4" w:space="0" w:color="000000"/>
                          <w:right w:val="single" w:sz="4" w:space="0" w:color="000000"/>
                        </w:tcBorders>
                      </w:tcPr>
                      <w:p w:rsidR="00000000" w:rsidRDefault="001245BD">
                        <w:pPr>
                          <w:pStyle w:val="Default"/>
                          <w:rPr>
                            <w:rFonts w:cstheme="minorBidi"/>
                            <w:color w:val="auto"/>
                          </w:rPr>
                        </w:pPr>
                      </w:p>
                    </w:tc>
                    <w:tc>
                      <w:tcPr>
                        <w:tcW w:w="2220" w:type="dxa"/>
                        <w:gridSpan w:val="9"/>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2"/>
                      <w:wAfter w:w="583" w:type="dxa"/>
                      <w:trHeight w:val="112"/>
                    </w:trPr>
                    <w:tc>
                      <w:tcPr>
                        <w:tcW w:w="2845" w:type="dxa"/>
                        <w:gridSpan w:val="4"/>
                        <w:tcBorders>
                          <w:top w:val="single" w:sz="4"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17"/>
                            <w:szCs w:val="17"/>
                          </w:rPr>
                          <w:t>TOTAL</w:t>
                        </w:r>
                        <w:r>
                          <w:rPr>
                            <w:sz w:val="15"/>
                            <w:szCs w:val="15"/>
                          </w:rPr>
                          <w:t xml:space="preserve">CON IMPUESTOS INCLUIDOS </w:t>
                        </w:r>
                      </w:p>
                    </w:tc>
                    <w:tc>
                      <w:tcPr>
                        <w:tcW w:w="2220" w:type="dxa"/>
                        <w:gridSpan w:val="9"/>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055" w:type="dxa"/>
                        <w:gridSpan w:val="6"/>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1710" w:type="dxa"/>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bl>
              </w:txbxContent>
            </v:textbox>
            <w10:wrap type="through" anchorx="page" anchory="page"/>
          </v:shape>
        </w:pict>
      </w:r>
    </w:p>
    <w:p w:rsidR="00000000" w:rsidRDefault="001245BD">
      <w:pPr>
        <w:pStyle w:val="CM11"/>
        <w:rPr>
          <w:sz w:val="19"/>
          <w:szCs w:val="19"/>
        </w:rPr>
      </w:pPr>
      <w:r>
        <w:rPr>
          <w:sz w:val="19"/>
          <w:szCs w:val="19"/>
        </w:rPr>
        <w:t xml:space="preserve">Los gastos de difusión deben considerarse obligatoriamente en el presupuesto total. </w:t>
      </w:r>
      <w:r>
        <w:rPr>
          <w:sz w:val="19"/>
          <w:szCs w:val="19"/>
        </w:rPr>
        <w:t xml:space="preserve">El aporte de la entidad ejecutora o de terceros debe estar respaldado por una carta compromiso que garantice la consecución y entrega del aporte. </w:t>
      </w:r>
    </w:p>
    <w:p w:rsidR="00000000" w:rsidRDefault="007433DA">
      <w:pPr>
        <w:pStyle w:val="Default"/>
        <w:pageBreakBefore/>
        <w:framePr w:w="1488" w:wrap="auto" w:vAnchor="page" w:hAnchor="page" w:x="1683" w:y="1404"/>
        <w:spacing w:after="480"/>
        <w:rPr>
          <w:rFonts w:cstheme="minorBidi"/>
          <w:color w:val="auto"/>
          <w:sz w:val="19"/>
          <w:szCs w:val="19"/>
        </w:rPr>
      </w:pPr>
      <w:r>
        <w:rPr>
          <w:rFonts w:cstheme="minorBidi"/>
          <w:noProof/>
          <w:color w:val="auto"/>
          <w:sz w:val="19"/>
          <w:szCs w:val="19"/>
        </w:rPr>
        <w:lastRenderedPageBreak/>
        <w:drawing>
          <wp:inline distT="0" distB="0" distL="0" distR="0">
            <wp:extent cx="447675" cy="5619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41"/>
        <w:spacing w:after="330"/>
        <w:rPr>
          <w:sz w:val="23"/>
          <w:szCs w:val="23"/>
        </w:rPr>
      </w:pPr>
      <w:r>
        <w:rPr>
          <w:sz w:val="23"/>
          <w:szCs w:val="23"/>
        </w:rPr>
        <w:t xml:space="preserve">FUENTES DE FINANCIAMIENTO </w:t>
      </w:r>
    </w:p>
    <w:p w:rsidR="00000000" w:rsidRDefault="001245BD">
      <w:pPr>
        <w:pStyle w:val="Default"/>
        <w:rPr>
          <w:rFonts w:cstheme="minorBidi"/>
          <w:color w:val="auto"/>
        </w:rPr>
      </w:pPr>
      <w:r>
        <w:rPr>
          <w:noProof/>
        </w:rPr>
        <w:pict>
          <v:shape id="_x0000_s1032" type="#_x0000_t202" style="position:absolute;margin-left:72.9pt;margin-top:152.4pt;width:349.6pt;height:109.8pt;z-index:25166438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097"/>
                    <w:gridCol w:w="695"/>
                    <w:gridCol w:w="880"/>
                    <w:gridCol w:w="308"/>
                    <w:gridCol w:w="50"/>
                    <w:gridCol w:w="172"/>
                    <w:gridCol w:w="265"/>
                    <w:gridCol w:w="605"/>
                    <w:gridCol w:w="280"/>
                    <w:gridCol w:w="58"/>
                    <w:gridCol w:w="255"/>
                    <w:gridCol w:w="95"/>
                    <w:gridCol w:w="875"/>
                    <w:gridCol w:w="157"/>
                    <w:gridCol w:w="547"/>
                    <w:gridCol w:w="253"/>
                    <w:gridCol w:w="2264"/>
                    <w:gridCol w:w="38"/>
                  </w:tblGrid>
                  <w:tr w:rsidR="00000000">
                    <w:tblPrEx>
                      <w:tblCellMar>
                        <w:top w:w="0" w:type="dxa"/>
                        <w:bottom w:w="0" w:type="dxa"/>
                      </w:tblCellMar>
                    </w:tblPrEx>
                    <w:trPr>
                      <w:gridAfter w:val="4"/>
                      <w:wAfter w:w="1901" w:type="dxa"/>
                      <w:trHeight w:val="155"/>
                    </w:trPr>
                    <w:tc>
                      <w:tcPr>
                        <w:tcW w:w="3430" w:type="dxa"/>
                        <w:gridSpan w:val="6"/>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23"/>
                            <w:szCs w:val="23"/>
                          </w:rPr>
                        </w:pPr>
                        <w:r>
                          <w:rPr>
                            <w:sz w:val="23"/>
                            <w:szCs w:val="23"/>
                          </w:rPr>
                          <w:t xml:space="preserve">Fuente </w:t>
                        </w:r>
                      </w:p>
                    </w:tc>
                    <w:tc>
                      <w:tcPr>
                        <w:tcW w:w="2762" w:type="dxa"/>
                        <w:gridSpan w:val="9"/>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jc w:val="center"/>
                          <w:rPr>
                            <w:sz w:val="23"/>
                            <w:szCs w:val="23"/>
                          </w:rPr>
                        </w:pPr>
                        <w:r>
                          <w:rPr>
                            <w:sz w:val="23"/>
                            <w:szCs w:val="23"/>
                          </w:rPr>
                          <w:t>M</w:t>
                        </w:r>
                        <w:r>
                          <w:rPr>
                            <w:sz w:val="23"/>
                            <w:szCs w:val="23"/>
                          </w:rPr>
                          <w:t xml:space="preserve">onto $ </w:t>
                        </w:r>
                      </w:p>
                    </w:tc>
                  </w:tr>
                  <w:tr w:rsidR="00000000">
                    <w:tblPrEx>
                      <w:tblCellMar>
                        <w:top w:w="0" w:type="dxa"/>
                        <w:bottom w:w="0" w:type="dxa"/>
                      </w:tblCellMar>
                    </w:tblPrEx>
                    <w:trPr>
                      <w:gridAfter w:val="4"/>
                      <w:wAfter w:w="1901" w:type="dxa"/>
                      <w:trHeight w:val="288"/>
                    </w:trPr>
                    <w:tc>
                      <w:tcPr>
                        <w:tcW w:w="3430" w:type="dxa"/>
                        <w:gridSpan w:val="6"/>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23"/>
                            <w:szCs w:val="23"/>
                          </w:rPr>
                        </w:pPr>
                        <w:r>
                          <w:rPr>
                            <w:sz w:val="23"/>
                            <w:szCs w:val="23"/>
                          </w:rPr>
                          <w:t xml:space="preserve">Total Solicitado FIC 2012 </w:t>
                        </w:r>
                      </w:p>
                    </w:tc>
                    <w:tc>
                      <w:tcPr>
                        <w:tcW w:w="2762"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4"/>
                      <w:wAfter w:w="1901" w:type="dxa"/>
                      <w:trHeight w:val="291"/>
                    </w:trPr>
                    <w:tc>
                      <w:tcPr>
                        <w:tcW w:w="3430" w:type="dxa"/>
                        <w:gridSpan w:val="6"/>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23"/>
                            <w:szCs w:val="23"/>
                          </w:rPr>
                        </w:pPr>
                        <w:r>
                          <w:rPr>
                            <w:sz w:val="23"/>
                            <w:szCs w:val="23"/>
                          </w:rPr>
                          <w:t xml:space="preserve">Total Aporte Entidad Ejecutora (Propio y/o de Terceros) </w:t>
                        </w:r>
                      </w:p>
                    </w:tc>
                    <w:tc>
                      <w:tcPr>
                        <w:tcW w:w="2762"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gridAfter w:val="4"/>
                      <w:wAfter w:w="1901" w:type="dxa"/>
                      <w:trHeight w:val="288"/>
                    </w:trPr>
                    <w:tc>
                      <w:tcPr>
                        <w:tcW w:w="3430" w:type="dxa"/>
                        <w:gridSpan w:val="6"/>
                        <w:tcBorders>
                          <w:top w:val="single" w:sz="6" w:space="0" w:color="000000"/>
                          <w:left w:val="single" w:sz="4" w:space="0" w:color="000000"/>
                          <w:bottom w:val="single" w:sz="6" w:space="0" w:color="000000"/>
                          <w:right w:val="single" w:sz="4" w:space="0" w:color="000000"/>
                        </w:tcBorders>
                        <w:vAlign w:val="center"/>
                      </w:tcPr>
                      <w:p w:rsidR="00000000" w:rsidRDefault="001245BD">
                        <w:pPr>
                          <w:pStyle w:val="Default"/>
                          <w:rPr>
                            <w:sz w:val="15"/>
                            <w:szCs w:val="15"/>
                          </w:rPr>
                        </w:pPr>
                        <w:r>
                          <w:rPr>
                            <w:sz w:val="23"/>
                            <w:szCs w:val="23"/>
                          </w:rPr>
                          <w:t xml:space="preserve">Total </w:t>
                        </w:r>
                        <w:r>
                          <w:rPr>
                            <w:rFonts w:ascii="TTE1D653F0t00" w:hAnsi="TTE1D653F0t00" w:cs="TTE1D653F0t00"/>
                            <w:sz w:val="15"/>
                            <w:szCs w:val="15"/>
                          </w:rPr>
                          <w:t>(</w:t>
                        </w:r>
                        <w:r>
                          <w:rPr>
                            <w:sz w:val="15"/>
                            <w:szCs w:val="15"/>
                          </w:rPr>
                          <w:t xml:space="preserve">CON IMPUESTOS INCLUIDOS) </w:t>
                        </w:r>
                      </w:p>
                    </w:tc>
                    <w:tc>
                      <w:tcPr>
                        <w:tcW w:w="2762" w:type="dxa"/>
                        <w:gridSpan w:val="9"/>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bl>
              </w:txbxContent>
            </v:textbox>
            <w10:wrap type="through" anchorx="page" anchory="page"/>
          </v:shape>
        </w:pict>
      </w:r>
    </w:p>
    <w:p w:rsidR="00000000" w:rsidRDefault="007433DA">
      <w:pPr>
        <w:pStyle w:val="Default"/>
        <w:framePr w:w="810" w:wrap="auto" w:vAnchor="page" w:hAnchor="page" w:x="1543" w:y="5844"/>
        <w:rPr>
          <w:rFonts w:cstheme="minorBidi"/>
          <w:color w:val="auto"/>
        </w:rPr>
      </w:pPr>
      <w:r>
        <w:rPr>
          <w:rFonts w:cstheme="minorBidi"/>
          <w:noProof/>
          <w:color w:val="auto"/>
        </w:rPr>
        <w:drawing>
          <wp:inline distT="0" distB="0" distL="0" distR="0">
            <wp:extent cx="9525" cy="952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0859" w:y="5844"/>
        <w:spacing w:after="640"/>
        <w:rPr>
          <w:rFonts w:cstheme="minorBidi"/>
          <w:color w:val="auto"/>
        </w:rPr>
      </w:pPr>
      <w:r>
        <w:rPr>
          <w:rFonts w:cstheme="minorBidi"/>
          <w:noProof/>
          <w:color w:val="auto"/>
        </w:rPr>
        <w:drawing>
          <wp:inline distT="0" distB="0" distL="0" distR="0">
            <wp:extent cx="9525" cy="952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0000" w:rsidRDefault="007433DA">
      <w:pPr>
        <w:pStyle w:val="Default"/>
        <w:framePr w:w="815" w:wrap="auto" w:vAnchor="page" w:hAnchor="page" w:x="1543" w:y="6497"/>
        <w:rPr>
          <w:rFonts w:cstheme="minorBidi"/>
          <w:color w:val="auto"/>
        </w:rPr>
      </w:pPr>
      <w:r>
        <w:rPr>
          <w:rFonts w:cstheme="minorBidi"/>
          <w:noProof/>
          <w:color w:val="auto"/>
        </w:rPr>
        <w:drawing>
          <wp:inline distT="0" distB="0" distL="0" distR="0">
            <wp:extent cx="9525" cy="16192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9525" cy="161925"/>
                    </a:xfrm>
                    <a:prstGeom prst="rect">
                      <a:avLst/>
                    </a:prstGeom>
                    <a:noFill/>
                    <a:ln w="9525">
                      <a:noFill/>
                      <a:miter lim="800000"/>
                      <a:headEnd/>
                      <a:tailEnd/>
                    </a:ln>
                  </pic:spPr>
                </pic:pic>
              </a:graphicData>
            </a:graphic>
          </wp:inline>
        </w:drawing>
      </w:r>
    </w:p>
    <w:p w:rsidR="00000000" w:rsidRDefault="007433DA">
      <w:pPr>
        <w:pStyle w:val="Default"/>
        <w:framePr w:w="906" w:wrap="auto" w:vAnchor="page" w:hAnchor="page" w:x="10763" w:y="6497"/>
        <w:spacing w:after="800"/>
        <w:rPr>
          <w:rFonts w:cstheme="minorBidi"/>
          <w:color w:val="auto"/>
        </w:rPr>
      </w:pPr>
      <w:r>
        <w:rPr>
          <w:rFonts w:cstheme="minorBidi"/>
          <w:noProof/>
          <w:color w:val="auto"/>
        </w:rPr>
        <w:drawing>
          <wp:inline distT="0" distB="0" distL="0" distR="0">
            <wp:extent cx="76200" cy="1619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76200" cy="161925"/>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548" w:y="7555"/>
        <w:spacing w:after="480"/>
        <w:rPr>
          <w:rFonts w:cstheme="minorBidi"/>
          <w:color w:val="auto"/>
        </w:rPr>
      </w:pPr>
      <w:r>
        <w:rPr>
          <w:rFonts w:cstheme="minorBidi"/>
          <w:noProof/>
          <w:color w:val="auto"/>
        </w:rPr>
        <w:drawing>
          <wp:inline distT="0" distB="0" distL="0" distR="0">
            <wp:extent cx="9525" cy="22860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9525" cy="228600"/>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0763" w:y="7555"/>
        <w:spacing w:after="1160"/>
        <w:rPr>
          <w:rFonts w:cstheme="minorBidi"/>
          <w:color w:val="auto"/>
        </w:rPr>
      </w:pPr>
      <w:r>
        <w:rPr>
          <w:rFonts w:cstheme="minorBidi"/>
          <w:noProof/>
          <w:color w:val="auto"/>
        </w:rPr>
        <w:drawing>
          <wp:inline distT="0" distB="0" distL="0" distR="0">
            <wp:extent cx="9525" cy="22860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9525" cy="228600"/>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548" w:y="9077"/>
        <w:rPr>
          <w:rFonts w:cstheme="minorBidi"/>
          <w:color w:val="auto"/>
        </w:rPr>
      </w:pPr>
      <w:r>
        <w:rPr>
          <w:rFonts w:cstheme="minorBidi"/>
          <w:noProof/>
          <w:color w:val="auto"/>
        </w:rPr>
        <w:drawing>
          <wp:inline distT="0" distB="0" distL="0" distR="0">
            <wp:extent cx="9525" cy="952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0787" w:y="9077"/>
        <w:spacing w:after="500"/>
        <w:rPr>
          <w:rFonts w:cstheme="minorBidi"/>
          <w:color w:val="auto"/>
        </w:rPr>
      </w:pPr>
      <w:r>
        <w:rPr>
          <w:rFonts w:cstheme="minorBidi"/>
          <w:noProof/>
          <w:color w:val="auto"/>
        </w:rPr>
        <w:drawing>
          <wp:inline distT="0" distB="0" distL="0" distR="0">
            <wp:extent cx="9525" cy="952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548" w:y="9583"/>
        <w:rPr>
          <w:rFonts w:cstheme="minorBidi"/>
          <w:color w:val="auto"/>
        </w:rPr>
      </w:pPr>
      <w:r>
        <w:rPr>
          <w:rFonts w:cstheme="minorBidi"/>
          <w:noProof/>
          <w:color w:val="auto"/>
        </w:rPr>
        <w:drawing>
          <wp:inline distT="0" distB="0" distL="0" distR="0">
            <wp:extent cx="9525" cy="95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0787" w:y="9583"/>
        <w:spacing w:after="1160"/>
        <w:rPr>
          <w:rFonts w:cstheme="minorBidi"/>
          <w:color w:val="auto"/>
        </w:rPr>
      </w:pPr>
      <w:r>
        <w:rPr>
          <w:rFonts w:cstheme="minorBidi"/>
          <w:noProof/>
          <w:color w:val="auto"/>
        </w:rPr>
        <w:drawing>
          <wp:inline distT="0" distB="0" distL="0" distR="0">
            <wp:extent cx="9525" cy="95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548" w:y="10747"/>
        <w:rPr>
          <w:rFonts w:cstheme="minorBidi"/>
          <w:color w:val="auto"/>
        </w:rPr>
      </w:pPr>
      <w:r>
        <w:rPr>
          <w:rFonts w:cstheme="minorBidi"/>
          <w:noProof/>
          <w:color w:val="auto"/>
        </w:rPr>
        <w:drawing>
          <wp:inline distT="0" distB="0" distL="0" distR="0">
            <wp:extent cx="9525" cy="2286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9525" cy="228600"/>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0787" w:y="10747"/>
        <w:spacing w:after="1360"/>
        <w:rPr>
          <w:rFonts w:cstheme="minorBidi"/>
          <w:color w:val="auto"/>
        </w:rPr>
      </w:pPr>
      <w:r>
        <w:rPr>
          <w:rFonts w:cstheme="minorBidi"/>
          <w:noProof/>
          <w:color w:val="auto"/>
        </w:rPr>
        <w:drawing>
          <wp:inline distT="0" distB="0" distL="0" distR="0">
            <wp:extent cx="9525" cy="22860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9525" cy="228600"/>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548" w:y="12468"/>
        <w:rPr>
          <w:rFonts w:cstheme="minorBidi"/>
          <w:color w:val="auto"/>
        </w:rPr>
      </w:pPr>
      <w:r>
        <w:rPr>
          <w:rFonts w:cstheme="minorBidi"/>
          <w:noProof/>
          <w:color w:val="auto"/>
        </w:rPr>
        <w:drawing>
          <wp:inline distT="0" distB="0" distL="0" distR="0">
            <wp:extent cx="9525" cy="95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0000" w:rsidRDefault="007433DA">
      <w:pPr>
        <w:pStyle w:val="Default"/>
        <w:framePr w:w="810" w:wrap="auto" w:vAnchor="page" w:hAnchor="page" w:x="10787" w:y="12468"/>
        <w:spacing w:after="1480"/>
        <w:rPr>
          <w:rFonts w:cstheme="minorBidi"/>
          <w:color w:val="auto"/>
        </w:rPr>
      </w:pPr>
      <w:r>
        <w:rPr>
          <w:rFonts w:cstheme="minorBidi"/>
          <w:noProof/>
          <w:color w:val="auto"/>
        </w:rPr>
        <w:drawing>
          <wp:inline distT="0" distB="0" distL="0" distR="0">
            <wp:extent cx="9525" cy="95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00000" w:rsidRDefault="001245BD">
      <w:pPr>
        <w:pStyle w:val="CM47"/>
        <w:spacing w:after="725"/>
        <w:jc w:val="center"/>
        <w:rPr>
          <w:sz w:val="21"/>
          <w:szCs w:val="21"/>
        </w:rPr>
      </w:pPr>
      <w:r>
        <w:rPr>
          <w:sz w:val="21"/>
          <w:szCs w:val="21"/>
        </w:rPr>
        <w:t xml:space="preserve">Firma jefe de proyecto </w:t>
      </w:r>
    </w:p>
    <w:p w:rsidR="00000000" w:rsidRDefault="001245BD">
      <w:pPr>
        <w:pStyle w:val="CM2"/>
        <w:jc w:val="center"/>
        <w:rPr>
          <w:rFonts w:ascii="TTE1CD6728t00" w:hAnsi="TTE1CD6728t00" w:cs="TTE1CD6728t00"/>
          <w:sz w:val="19"/>
          <w:szCs w:val="19"/>
        </w:rPr>
      </w:pPr>
      <w:r>
        <w:rPr>
          <w:rFonts w:ascii="TTE1CD6728t00" w:hAnsi="TTE1CD6728t00" w:cs="TTE1CD6728t00"/>
          <w:sz w:val="19"/>
          <w:szCs w:val="19"/>
        </w:rPr>
        <w:t xml:space="preserve">17 </w:t>
      </w:r>
    </w:p>
    <w:p w:rsidR="00000000" w:rsidRDefault="001245BD">
      <w:pPr>
        <w:pStyle w:val="CM37"/>
        <w:spacing w:after="277" w:line="288" w:lineRule="atLeast"/>
        <w:jc w:val="both"/>
        <w:rPr>
          <w:rFonts w:ascii="TTE1D653F0t00" w:hAnsi="TTE1D653F0t00" w:cs="TTE1D653F0t00"/>
          <w:sz w:val="21"/>
          <w:szCs w:val="21"/>
        </w:rPr>
      </w:pPr>
      <w:r>
        <w:rPr>
          <w:rFonts w:ascii="TTE1D653F0t00" w:hAnsi="TTE1D653F0t00" w:cs="TTE1D653F0t00"/>
          <w:sz w:val="21"/>
          <w:szCs w:val="21"/>
        </w:rPr>
        <w:t>¿</w:t>
      </w:r>
      <w:r>
        <w:rPr>
          <w:rFonts w:ascii="TTE1D653F0t00" w:hAnsi="TTE1D653F0t00" w:cs="TTE1D653F0t00"/>
          <w:sz w:val="21"/>
          <w:szCs w:val="21"/>
        </w:rPr>
        <w:t xml:space="preserve">El proyecto coincide con los Objetivos y Medidas de la Política Regional de ciencia Tecnología e Innovación? (Justifique su respuesta, con lo descrito en la Política CTI, Anexo N°2): </w:t>
      </w:r>
    </w:p>
    <w:p w:rsidR="00000000" w:rsidRDefault="001245BD">
      <w:pPr>
        <w:pStyle w:val="CM40"/>
        <w:spacing w:after="565" w:line="288" w:lineRule="atLeast"/>
        <w:jc w:val="both"/>
        <w:rPr>
          <w:rFonts w:ascii="TTE1D653F0t00" w:hAnsi="TTE1D653F0t00" w:cs="TTE1D653F0t00"/>
          <w:sz w:val="21"/>
          <w:szCs w:val="21"/>
        </w:rPr>
      </w:pPr>
      <w:r>
        <w:rPr>
          <w:rFonts w:ascii="TTE1D653F0t00" w:hAnsi="TTE1D653F0t00" w:cs="TTE1D653F0t00"/>
          <w:sz w:val="21"/>
          <w:szCs w:val="21"/>
        </w:rPr>
        <w:t>¿El proyecto coincide con alguno de los lineamientos Estratégicos de Des</w:t>
      </w:r>
      <w:r>
        <w:rPr>
          <w:rFonts w:ascii="TTE1D653F0t00" w:hAnsi="TTE1D653F0t00" w:cs="TTE1D653F0t00"/>
          <w:sz w:val="21"/>
          <w:szCs w:val="21"/>
        </w:rPr>
        <w:t xml:space="preserve">arrollo Productivo? (Justifique su respuesta): </w:t>
      </w:r>
    </w:p>
    <w:p w:rsidR="00000000" w:rsidRDefault="001245BD">
      <w:pPr>
        <w:pStyle w:val="CM40"/>
        <w:spacing w:after="565" w:line="288" w:lineRule="atLeast"/>
        <w:jc w:val="both"/>
        <w:rPr>
          <w:rFonts w:ascii="TTE1D653F0t00" w:hAnsi="TTE1D653F0t00" w:cs="TTE1D653F0t00"/>
          <w:sz w:val="21"/>
          <w:szCs w:val="21"/>
        </w:rPr>
      </w:pPr>
      <w:r>
        <w:rPr>
          <w:rFonts w:ascii="TTE1D653F0t00" w:hAnsi="TTE1D653F0t00" w:cs="TTE1D653F0t00"/>
          <w:sz w:val="21"/>
          <w:szCs w:val="21"/>
        </w:rPr>
        <w:t xml:space="preserve">¿Territorio de intervención del proyecto? (Justifique su respuesta, aclarando si es Regional, Provincial o Comunal): </w:t>
      </w:r>
    </w:p>
    <w:p w:rsidR="00000000" w:rsidRDefault="001245BD">
      <w:pPr>
        <w:pStyle w:val="CM40"/>
        <w:spacing w:after="565"/>
        <w:jc w:val="center"/>
        <w:rPr>
          <w:rFonts w:ascii="TTE1D653F0t00" w:hAnsi="TTE1D653F0t00" w:cs="TTE1D653F0t00"/>
          <w:sz w:val="21"/>
          <w:szCs w:val="21"/>
        </w:rPr>
      </w:pPr>
      <w:r>
        <w:rPr>
          <w:rFonts w:ascii="TTE1D653F0t00" w:hAnsi="TTE1D653F0t00" w:cs="TTE1D653F0t00"/>
          <w:sz w:val="21"/>
          <w:szCs w:val="21"/>
        </w:rPr>
        <w:t>¿El proyecto genera condiciones de crecimiento y empleo competitivo? (Justifique su respue</w:t>
      </w:r>
      <w:r>
        <w:rPr>
          <w:rFonts w:ascii="TTE1D653F0t00" w:hAnsi="TTE1D653F0t00" w:cs="TTE1D653F0t00"/>
          <w:sz w:val="21"/>
          <w:szCs w:val="21"/>
        </w:rPr>
        <w:t xml:space="preserve">sta): </w:t>
      </w:r>
    </w:p>
    <w:p w:rsidR="00000000" w:rsidRDefault="001245BD">
      <w:pPr>
        <w:pStyle w:val="CM45"/>
        <w:spacing w:after="400" w:line="288" w:lineRule="atLeast"/>
        <w:jc w:val="both"/>
        <w:rPr>
          <w:rFonts w:ascii="TTE1D653F0t00" w:hAnsi="TTE1D653F0t00" w:cs="TTE1D653F0t00"/>
          <w:sz w:val="21"/>
          <w:szCs w:val="21"/>
        </w:rPr>
      </w:pPr>
      <w:r>
        <w:rPr>
          <w:rFonts w:ascii="TTE1D653F0t00" w:hAnsi="TTE1D653F0t00" w:cs="TTE1D653F0t00"/>
          <w:sz w:val="21"/>
          <w:szCs w:val="21"/>
        </w:rPr>
        <w:t xml:space="preserve">Indicar las características de aquellos que se verán beneficiados con la Ejecución del Proyecto, de acuerdo a la demanda de innovación empresarial. (Identificar y en lo posible cuantificar) </w:t>
      </w:r>
    </w:p>
    <w:p w:rsidR="00000000" w:rsidRDefault="001245BD">
      <w:pPr>
        <w:pStyle w:val="Default"/>
        <w:spacing w:line="456" w:lineRule="atLeast"/>
        <w:rPr>
          <w:rFonts w:ascii="TTE1D653F0t00" w:hAnsi="TTE1D653F0t00" w:cs="TTE1D653F0t00"/>
          <w:color w:val="auto"/>
          <w:sz w:val="21"/>
          <w:szCs w:val="21"/>
        </w:rPr>
      </w:pPr>
      <w:r>
        <w:rPr>
          <w:rFonts w:ascii="TTE1D653F0t00" w:hAnsi="TTE1D653F0t00" w:cs="TTE1D653F0t00"/>
          <w:color w:val="auto"/>
          <w:sz w:val="21"/>
          <w:szCs w:val="21"/>
        </w:rPr>
        <w:t xml:space="preserve">Nombre Jefe de Proyecto: Correo de contacto : Teléfono de </w:t>
      </w:r>
      <w:r>
        <w:rPr>
          <w:rFonts w:ascii="TTE1D653F0t00" w:hAnsi="TTE1D653F0t00" w:cs="TTE1D653F0t00"/>
          <w:color w:val="auto"/>
          <w:sz w:val="21"/>
          <w:szCs w:val="21"/>
        </w:rPr>
        <w:t xml:space="preserve">contacto : </w:t>
      </w:r>
    </w:p>
    <w:p w:rsidR="00000000" w:rsidRDefault="007433DA">
      <w:pPr>
        <w:pStyle w:val="Default"/>
        <w:pageBreakBefore/>
        <w:framePr w:w="1488" w:wrap="auto" w:vAnchor="page" w:hAnchor="page" w:x="1683" w:y="1404"/>
        <w:spacing w:after="260"/>
        <w:rPr>
          <w:rFonts w:ascii="TTE1D653F0t00" w:hAnsi="TTE1D653F0t00" w:cs="TTE1D653F0t00"/>
          <w:color w:val="auto"/>
          <w:sz w:val="21"/>
          <w:szCs w:val="21"/>
        </w:rPr>
      </w:pPr>
      <w:r>
        <w:rPr>
          <w:rFonts w:ascii="TTE1D653F0t00" w:hAnsi="TTE1D653F0t00" w:cs="TTE1D653F0t00"/>
          <w:noProof/>
          <w:color w:val="auto"/>
          <w:sz w:val="21"/>
          <w:szCs w:val="21"/>
        </w:rPr>
        <w:lastRenderedPageBreak/>
        <w:drawing>
          <wp:inline distT="0" distB="0" distL="0" distR="0">
            <wp:extent cx="447675" cy="561975"/>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44"/>
        <w:spacing w:after="477" w:line="243" w:lineRule="atLeast"/>
        <w:jc w:val="both"/>
        <w:rPr>
          <w:rFonts w:ascii="Helvetica" w:hAnsi="Helvetica" w:cs="Helvetica"/>
          <w:sz w:val="21"/>
          <w:szCs w:val="21"/>
        </w:rPr>
      </w:pPr>
      <w:r>
        <w:rPr>
          <w:rFonts w:ascii="Helvetica" w:hAnsi="Helvetica" w:cs="Helvetica"/>
          <w:b/>
          <w:bCs/>
          <w:sz w:val="21"/>
          <w:szCs w:val="21"/>
        </w:rPr>
        <w:t>TODAS LAS INSTITUCIONES QUE POSTULEN A FINANCIAMIENTO DEL FIC REGIONAL 2012, DEBERAN OBLIGATORIAMENTE ANEXAR A LA PRESENTE FICHA UN LISTADO PRIORIZADO DE LAS INICIATIVAS DE</w:t>
      </w:r>
      <w:r>
        <w:rPr>
          <w:rFonts w:ascii="Helvetica" w:hAnsi="Helvetica" w:cs="Helvetica"/>
          <w:b/>
          <w:bCs/>
          <w:sz w:val="21"/>
          <w:szCs w:val="21"/>
        </w:rPr>
        <w:t xml:space="preserve"> INVESTIGACIÓN, CUANDO LA UNIVERSIDAD O CENTRO DE INVESTIGACIÓN PRESENTE MAS DE TRES PROYECTOS. (No se aceptará más de un proyecto por cada prioridad) </w:t>
      </w:r>
    </w:p>
    <w:p w:rsidR="00000000" w:rsidRDefault="001245BD">
      <w:pPr>
        <w:pStyle w:val="CM45"/>
        <w:spacing w:after="374"/>
        <w:jc w:val="both"/>
        <w:rPr>
          <w:rFonts w:ascii="Helvetica" w:hAnsi="Helvetica" w:cs="Helvetica"/>
          <w:sz w:val="23"/>
          <w:szCs w:val="23"/>
        </w:rPr>
      </w:pPr>
      <w:r>
        <w:rPr>
          <w:rFonts w:ascii="Helvetica" w:hAnsi="Helvetica" w:cs="Helvetica"/>
          <w:b/>
          <w:bCs/>
          <w:sz w:val="23"/>
          <w:szCs w:val="23"/>
        </w:rPr>
        <w:t xml:space="preserve">13. LISTADO PRIORIZADO DE INSTITUCIÓN POSTULANTE </w:t>
      </w:r>
    </w:p>
    <w:p w:rsidR="00000000" w:rsidRDefault="001245BD">
      <w:pPr>
        <w:pStyle w:val="Default"/>
        <w:rPr>
          <w:rFonts w:cstheme="minorBidi"/>
          <w:color w:val="auto"/>
        </w:rPr>
      </w:pPr>
      <w:r>
        <w:rPr>
          <w:noProof/>
        </w:rPr>
        <w:pict>
          <v:shape id="_x0000_s1033" type="#_x0000_t202" style="position:absolute;margin-left:80.2pt;margin-top:227.75pt;width:502.7pt;height:222.1pt;z-index:25166540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097"/>
                    <w:gridCol w:w="695"/>
                    <w:gridCol w:w="880"/>
                    <w:gridCol w:w="308"/>
                    <w:gridCol w:w="222"/>
                    <w:gridCol w:w="265"/>
                    <w:gridCol w:w="605"/>
                    <w:gridCol w:w="280"/>
                    <w:gridCol w:w="58"/>
                    <w:gridCol w:w="255"/>
                    <w:gridCol w:w="95"/>
                    <w:gridCol w:w="875"/>
                    <w:gridCol w:w="704"/>
                    <w:gridCol w:w="253"/>
                    <w:gridCol w:w="2264"/>
                    <w:gridCol w:w="38"/>
                  </w:tblGrid>
                  <w:tr w:rsidR="00000000">
                    <w:tblPrEx>
                      <w:tblCellMar>
                        <w:top w:w="0" w:type="dxa"/>
                        <w:bottom w:w="0" w:type="dxa"/>
                      </w:tblCellMar>
                    </w:tblPrEx>
                    <w:trPr>
                      <w:wAfter w:w="371" w:type="dxa"/>
                      <w:trHeight w:val="258"/>
                    </w:trPr>
                    <w:tc>
                      <w:tcPr>
                        <w:tcW w:w="1497" w:type="dxa"/>
                        <w:gridSpan w:val="2"/>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ascii="TTE1D653F0t00" w:hAnsi="TTE1D653F0t00" w:cs="TTE1D653F0t00"/>
                            <w:sz w:val="21"/>
                            <w:szCs w:val="21"/>
                          </w:rPr>
                        </w:pPr>
                        <w:r>
                          <w:rPr>
                            <w:rFonts w:ascii="TTE1D653F0t00" w:hAnsi="TTE1D653F0t00" w:cs="TTE1D653F0t00"/>
                            <w:sz w:val="21"/>
                            <w:szCs w:val="21"/>
                          </w:rPr>
                          <w:t xml:space="preserve">PRIORIDAD </w:t>
                        </w:r>
                      </w:p>
                    </w:tc>
                    <w:tc>
                      <w:tcPr>
                        <w:tcW w:w="5242" w:type="dxa"/>
                        <w:gridSpan w:val="12"/>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ascii="TTE1D653F0t00" w:hAnsi="TTE1D653F0t00" w:cs="TTE1D653F0t00"/>
                            <w:sz w:val="21"/>
                            <w:szCs w:val="21"/>
                          </w:rPr>
                        </w:pPr>
                        <w:r>
                          <w:rPr>
                            <w:rFonts w:ascii="TTE1D653F0t00" w:hAnsi="TTE1D653F0t00" w:cs="TTE1D653F0t00"/>
                            <w:sz w:val="21"/>
                            <w:szCs w:val="21"/>
                          </w:rPr>
                          <w:t xml:space="preserve">NOMBRE DE PROYECTO </w:t>
                        </w:r>
                      </w:p>
                    </w:tc>
                    <w:tc>
                      <w:tcPr>
                        <w:tcW w:w="2515" w:type="dxa"/>
                        <w:gridSpan w:val="3"/>
                        <w:tcBorders>
                          <w:top w:val="single" w:sz="6" w:space="0" w:color="000000"/>
                          <w:left w:val="single" w:sz="4" w:space="0" w:color="000000"/>
                          <w:bottom w:val="single" w:sz="4" w:space="0" w:color="000000"/>
                          <w:right w:val="single" w:sz="4" w:space="0" w:color="000000"/>
                        </w:tcBorders>
                      </w:tcPr>
                      <w:p w:rsidR="00000000" w:rsidRDefault="001245BD">
                        <w:pPr>
                          <w:pStyle w:val="Default"/>
                          <w:jc w:val="center"/>
                          <w:rPr>
                            <w:rFonts w:ascii="TTE1D653F0t00" w:hAnsi="TTE1D653F0t00" w:cs="TTE1D653F0t00"/>
                            <w:sz w:val="21"/>
                            <w:szCs w:val="21"/>
                          </w:rPr>
                        </w:pPr>
                        <w:r>
                          <w:rPr>
                            <w:rFonts w:ascii="TTE1D653F0t00" w:hAnsi="TTE1D653F0t00" w:cs="TTE1D653F0t00"/>
                            <w:sz w:val="21"/>
                            <w:szCs w:val="21"/>
                          </w:rPr>
                          <w:t xml:space="preserve">JEFE DE PROYECTO </w:t>
                        </w:r>
                      </w:p>
                    </w:tc>
                  </w:tr>
                  <w:tr w:rsidR="00000000">
                    <w:tblPrEx>
                      <w:tblCellMar>
                        <w:top w:w="0" w:type="dxa"/>
                        <w:bottom w:w="0" w:type="dxa"/>
                      </w:tblCellMar>
                    </w:tblPrEx>
                    <w:trPr>
                      <w:wAfter w:w="371" w:type="dxa"/>
                      <w:trHeight w:val="293"/>
                    </w:trPr>
                    <w:tc>
                      <w:tcPr>
                        <w:tcW w:w="1497" w:type="dxa"/>
                        <w:gridSpan w:val="2"/>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sz w:val="27"/>
                            <w:szCs w:val="27"/>
                          </w:rPr>
                        </w:pPr>
                        <w:r>
                          <w:rPr>
                            <w:sz w:val="27"/>
                            <w:szCs w:val="27"/>
                          </w:rPr>
                          <w:t xml:space="preserve">1 </w:t>
                        </w:r>
                      </w:p>
                    </w:tc>
                    <w:tc>
                      <w:tcPr>
                        <w:tcW w:w="5242" w:type="dxa"/>
                        <w:gridSpan w:val="12"/>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515" w:type="dxa"/>
                        <w:gridSpan w:val="3"/>
                        <w:tcBorders>
                          <w:top w:val="single" w:sz="4"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wAfter w:w="371" w:type="dxa"/>
                      <w:trHeight w:val="292"/>
                    </w:trPr>
                    <w:tc>
                      <w:tcPr>
                        <w:tcW w:w="1497"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sz w:val="27"/>
                            <w:szCs w:val="27"/>
                          </w:rPr>
                        </w:pPr>
                        <w:r>
                          <w:rPr>
                            <w:sz w:val="27"/>
                            <w:szCs w:val="27"/>
                          </w:rPr>
                          <w:t xml:space="preserve">2 </w:t>
                        </w:r>
                      </w:p>
                    </w:tc>
                    <w:tc>
                      <w:tcPr>
                        <w:tcW w:w="5242" w:type="dxa"/>
                        <w:gridSpan w:val="1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515" w:type="dxa"/>
                        <w:gridSpan w:val="3"/>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wAfter w:w="371" w:type="dxa"/>
                      <w:trHeight w:val="293"/>
                    </w:trPr>
                    <w:tc>
                      <w:tcPr>
                        <w:tcW w:w="1497"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sz w:val="27"/>
                            <w:szCs w:val="27"/>
                          </w:rPr>
                        </w:pPr>
                        <w:r>
                          <w:rPr>
                            <w:sz w:val="27"/>
                            <w:szCs w:val="27"/>
                          </w:rPr>
                          <w:t xml:space="preserve">3 </w:t>
                        </w:r>
                      </w:p>
                    </w:tc>
                    <w:tc>
                      <w:tcPr>
                        <w:tcW w:w="5242" w:type="dxa"/>
                        <w:gridSpan w:val="1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515" w:type="dxa"/>
                        <w:gridSpan w:val="3"/>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wAfter w:w="371" w:type="dxa"/>
                      <w:trHeight w:val="293"/>
                    </w:trPr>
                    <w:tc>
                      <w:tcPr>
                        <w:tcW w:w="1497"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sz w:val="27"/>
                            <w:szCs w:val="27"/>
                          </w:rPr>
                        </w:pPr>
                        <w:r>
                          <w:rPr>
                            <w:sz w:val="27"/>
                            <w:szCs w:val="27"/>
                          </w:rPr>
                          <w:t xml:space="preserve">4 </w:t>
                        </w:r>
                      </w:p>
                    </w:tc>
                    <w:tc>
                      <w:tcPr>
                        <w:tcW w:w="5242" w:type="dxa"/>
                        <w:gridSpan w:val="1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515" w:type="dxa"/>
                        <w:gridSpan w:val="3"/>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wAfter w:w="371" w:type="dxa"/>
                      <w:trHeight w:val="292"/>
                    </w:trPr>
                    <w:tc>
                      <w:tcPr>
                        <w:tcW w:w="1497"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sz w:val="27"/>
                            <w:szCs w:val="27"/>
                          </w:rPr>
                        </w:pPr>
                        <w:r>
                          <w:rPr>
                            <w:sz w:val="27"/>
                            <w:szCs w:val="27"/>
                          </w:rPr>
                          <w:t xml:space="preserve">5 </w:t>
                        </w:r>
                      </w:p>
                    </w:tc>
                    <w:tc>
                      <w:tcPr>
                        <w:tcW w:w="5242" w:type="dxa"/>
                        <w:gridSpan w:val="1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515" w:type="dxa"/>
                        <w:gridSpan w:val="3"/>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r w:rsidR="00000000">
                    <w:tblPrEx>
                      <w:tblCellMar>
                        <w:top w:w="0" w:type="dxa"/>
                        <w:bottom w:w="0" w:type="dxa"/>
                      </w:tblCellMar>
                    </w:tblPrEx>
                    <w:trPr>
                      <w:wAfter w:w="371" w:type="dxa"/>
                      <w:trHeight w:val="293"/>
                    </w:trPr>
                    <w:tc>
                      <w:tcPr>
                        <w:tcW w:w="1497" w:type="dxa"/>
                        <w:gridSpan w:val="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sz w:val="27"/>
                            <w:szCs w:val="27"/>
                          </w:rPr>
                        </w:pPr>
                        <w:r>
                          <w:rPr>
                            <w:sz w:val="27"/>
                            <w:szCs w:val="27"/>
                          </w:rPr>
                          <w:t xml:space="preserve">N </w:t>
                        </w:r>
                      </w:p>
                    </w:tc>
                    <w:tc>
                      <w:tcPr>
                        <w:tcW w:w="5242" w:type="dxa"/>
                        <w:gridSpan w:val="12"/>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c>
                      <w:tcPr>
                        <w:tcW w:w="2515" w:type="dxa"/>
                        <w:gridSpan w:val="3"/>
                        <w:tcBorders>
                          <w:top w:val="single" w:sz="6" w:space="0" w:color="000000"/>
                          <w:left w:val="single" w:sz="4" w:space="0" w:color="000000"/>
                          <w:bottom w:val="single" w:sz="6" w:space="0" w:color="000000"/>
                          <w:right w:val="single" w:sz="4" w:space="0" w:color="000000"/>
                        </w:tcBorders>
                      </w:tcPr>
                      <w:p w:rsidR="00000000" w:rsidRDefault="001245BD">
                        <w:pPr>
                          <w:pStyle w:val="Default"/>
                          <w:jc w:val="center"/>
                          <w:rPr>
                            <w:rFonts w:cstheme="minorBidi"/>
                            <w:color w:val="auto"/>
                          </w:rPr>
                        </w:pPr>
                      </w:p>
                    </w:tc>
                  </w:tr>
                </w:tbl>
              </w:txbxContent>
            </v:textbox>
            <w10:wrap type="through" anchorx="page" anchory="page"/>
          </v:shape>
        </w:pict>
      </w:r>
    </w:p>
    <w:p w:rsidR="00000000" w:rsidRDefault="001245BD">
      <w:pPr>
        <w:pStyle w:val="Default"/>
        <w:rPr>
          <w:rFonts w:cstheme="minorBidi"/>
          <w:color w:val="auto"/>
        </w:rPr>
      </w:pPr>
      <w:r>
        <w:rPr>
          <w:noProof/>
        </w:rPr>
        <w:pict>
          <v:shape id="_x0000_s1034" type="#_x0000_t202" style="position:absolute;margin-left:72.9pt;margin-top:460.6pt;width:502.75pt;height:162.05pt;z-index:25166643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792"/>
                    <w:gridCol w:w="880"/>
                    <w:gridCol w:w="308"/>
                    <w:gridCol w:w="222"/>
                    <w:gridCol w:w="265"/>
                    <w:gridCol w:w="605"/>
                    <w:gridCol w:w="280"/>
                    <w:gridCol w:w="58"/>
                    <w:gridCol w:w="255"/>
                    <w:gridCol w:w="95"/>
                    <w:gridCol w:w="875"/>
                    <w:gridCol w:w="957"/>
                    <w:gridCol w:w="2264"/>
                    <w:gridCol w:w="38"/>
                  </w:tblGrid>
                  <w:tr w:rsidR="00000000">
                    <w:tblPrEx>
                      <w:tblCellMar>
                        <w:top w:w="0" w:type="dxa"/>
                        <w:bottom w:w="0" w:type="dxa"/>
                      </w:tblCellMar>
                    </w:tblPrEx>
                    <w:trPr>
                      <w:wAfter w:w="370" w:type="dxa"/>
                      <w:trHeight w:val="260"/>
                    </w:trPr>
                    <w:tc>
                      <w:tcPr>
                        <w:tcW w:w="3380" w:type="dxa"/>
                        <w:gridSpan w:val="4"/>
                        <w:tcBorders>
                          <w:top w:val="single" w:sz="4" w:space="0" w:color="000000"/>
                          <w:left w:val="single" w:sz="4" w:space="0" w:color="000000"/>
                          <w:bottom w:val="single" w:sz="6" w:space="0" w:color="000000"/>
                        </w:tcBorders>
                        <w:vAlign w:val="center"/>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Institución que presenta el proyecto: </w:t>
                        </w:r>
                      </w:p>
                    </w:tc>
                    <w:tc>
                      <w:tcPr>
                        <w:tcW w:w="5875" w:type="dxa"/>
                        <w:gridSpan w:val="11"/>
                        <w:tcBorders>
                          <w:top w:val="single" w:sz="4" w:space="0" w:color="000000"/>
                          <w:bottom w:val="single" w:sz="6" w:space="0" w:color="000000"/>
                          <w:right w:val="single" w:sz="4" w:space="0" w:color="000000"/>
                        </w:tcBorders>
                        <w:vAlign w:val="center"/>
                      </w:tcPr>
                      <w:p w:rsidR="00000000" w:rsidRDefault="001245BD">
                        <w:pPr>
                          <w:pStyle w:val="Default"/>
                          <w:rPr>
                            <w:rFonts w:cstheme="minorBidi"/>
                            <w:color w:val="auto"/>
                          </w:rPr>
                        </w:pPr>
                      </w:p>
                    </w:tc>
                  </w:tr>
                  <w:tr w:rsidR="00000000">
                    <w:tblPrEx>
                      <w:tblCellMar>
                        <w:top w:w="0" w:type="dxa"/>
                        <w:bottom w:w="0" w:type="dxa"/>
                      </w:tblCellMar>
                    </w:tblPrEx>
                    <w:trPr>
                      <w:wAfter w:w="370" w:type="dxa"/>
                      <w:trHeight w:val="252"/>
                    </w:trPr>
                    <w:tc>
                      <w:tcPr>
                        <w:tcW w:w="3380" w:type="dxa"/>
                        <w:gridSpan w:val="4"/>
                        <w:tcBorders>
                          <w:top w:val="single" w:sz="6" w:space="0" w:color="000000"/>
                          <w:left w:val="single" w:sz="4" w:space="0" w:color="000000"/>
                          <w:bottom w:val="single" w:sz="4"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Representante Legal: </w:t>
                        </w:r>
                      </w:p>
                    </w:tc>
                    <w:tc>
                      <w:tcPr>
                        <w:tcW w:w="5875" w:type="dxa"/>
                        <w:gridSpan w:val="11"/>
                        <w:tcBorders>
                          <w:top w:val="single" w:sz="6" w:space="0" w:color="000000"/>
                          <w:bottom w:val="single" w:sz="4"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wAfter w:w="370" w:type="dxa"/>
                      <w:trHeight w:val="253"/>
                    </w:trPr>
                    <w:tc>
                      <w:tcPr>
                        <w:tcW w:w="3380" w:type="dxa"/>
                        <w:gridSpan w:val="4"/>
                        <w:tcBorders>
                          <w:top w:val="single" w:sz="4" w:space="0" w:color="000000"/>
                          <w:left w:val="single" w:sz="4" w:space="0" w:color="000000"/>
                          <w:bottom w:val="single" w:sz="6" w:space="0" w:color="000000"/>
                        </w:tcBorders>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RUT Representante Legal: </w:t>
                        </w:r>
                      </w:p>
                    </w:tc>
                    <w:tc>
                      <w:tcPr>
                        <w:tcW w:w="5875" w:type="dxa"/>
                        <w:gridSpan w:val="11"/>
                        <w:tcBorders>
                          <w:top w:val="single" w:sz="4" w:space="0" w:color="000000"/>
                          <w:bottom w:val="single" w:sz="6" w:space="0" w:color="000000"/>
                          <w:right w:val="single" w:sz="4" w:space="0" w:color="000000"/>
                        </w:tcBorders>
                      </w:tcPr>
                      <w:p w:rsidR="00000000" w:rsidRDefault="001245BD">
                        <w:pPr>
                          <w:pStyle w:val="Default"/>
                          <w:rPr>
                            <w:rFonts w:cstheme="minorBidi"/>
                            <w:color w:val="auto"/>
                          </w:rPr>
                        </w:pPr>
                      </w:p>
                    </w:tc>
                  </w:tr>
                  <w:tr w:rsidR="00000000">
                    <w:tblPrEx>
                      <w:tblCellMar>
                        <w:top w:w="0" w:type="dxa"/>
                        <w:bottom w:w="0" w:type="dxa"/>
                      </w:tblCellMar>
                    </w:tblPrEx>
                    <w:trPr>
                      <w:wAfter w:w="370" w:type="dxa"/>
                      <w:trHeight w:val="746"/>
                    </w:trPr>
                    <w:tc>
                      <w:tcPr>
                        <w:tcW w:w="3380" w:type="dxa"/>
                        <w:gridSpan w:val="4"/>
                        <w:tcBorders>
                          <w:top w:val="single" w:sz="6" w:space="0" w:color="000000"/>
                          <w:left w:val="single" w:sz="4" w:space="0" w:color="000000"/>
                          <w:bottom w:val="single" w:sz="4" w:space="0" w:color="000000"/>
                        </w:tcBorders>
                      </w:tcPr>
                      <w:p w:rsidR="00000000" w:rsidRDefault="001245BD">
                        <w:pPr>
                          <w:pStyle w:val="Default"/>
                          <w:rPr>
                            <w:rFonts w:cstheme="minorBidi"/>
                            <w:color w:val="auto"/>
                          </w:rPr>
                        </w:pPr>
                      </w:p>
                    </w:tc>
                    <w:tc>
                      <w:tcPr>
                        <w:tcW w:w="5875" w:type="dxa"/>
                        <w:gridSpan w:val="11"/>
                        <w:tcBorders>
                          <w:top w:val="single" w:sz="6" w:space="0" w:color="000000"/>
                          <w:bottom w:val="single" w:sz="4" w:space="0" w:color="000000"/>
                          <w:right w:val="single" w:sz="4" w:space="0" w:color="000000"/>
                        </w:tcBorders>
                        <w:vAlign w:val="bottom"/>
                      </w:tcPr>
                      <w:p w:rsidR="00000000" w:rsidRDefault="001245BD">
                        <w:pPr>
                          <w:pStyle w:val="Default"/>
                          <w:rPr>
                            <w:rFonts w:ascii="TTE1D653F0t00" w:hAnsi="TTE1D653F0t00" w:cs="TTE1D653F0t00"/>
                            <w:sz w:val="21"/>
                            <w:szCs w:val="21"/>
                          </w:rPr>
                        </w:pPr>
                        <w:r>
                          <w:rPr>
                            <w:rFonts w:ascii="TTE1D653F0t00" w:hAnsi="TTE1D653F0t00" w:cs="TTE1D653F0t00"/>
                            <w:sz w:val="21"/>
                            <w:szCs w:val="21"/>
                          </w:rPr>
                          <w:t xml:space="preserve">Firma Representante Legal: </w:t>
                        </w:r>
                      </w:p>
                    </w:tc>
                  </w:tr>
                </w:tbl>
              </w:txbxContent>
            </v:textbox>
            <w10:wrap type="through" anchorx="page" anchory="page"/>
          </v:shape>
        </w:pict>
      </w:r>
    </w:p>
    <w:p w:rsidR="00000000" w:rsidRDefault="007433DA">
      <w:pPr>
        <w:pStyle w:val="Default"/>
        <w:pageBreakBefore/>
        <w:framePr w:w="1488" w:wrap="auto" w:vAnchor="page" w:hAnchor="page" w:x="1683" w:y="1404"/>
        <w:spacing w:after="200"/>
        <w:rPr>
          <w:rFonts w:cstheme="minorBidi"/>
          <w:color w:val="auto"/>
        </w:rPr>
      </w:pPr>
      <w:r>
        <w:rPr>
          <w:rFonts w:cstheme="minorBidi"/>
          <w:noProof/>
          <w:color w:val="auto"/>
        </w:rPr>
        <w:lastRenderedPageBreak/>
        <w:drawing>
          <wp:inline distT="0" distB="0" distL="0" distR="0">
            <wp:extent cx="447675" cy="561975"/>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7"/>
        <w:spacing w:after="277"/>
        <w:jc w:val="center"/>
        <w:rPr>
          <w:rFonts w:cs="TTE23EEF90t00"/>
          <w:sz w:val="46"/>
          <w:szCs w:val="46"/>
        </w:rPr>
      </w:pPr>
      <w:r>
        <w:rPr>
          <w:rFonts w:cs="TTE23EEF90t00"/>
          <w:sz w:val="46"/>
          <w:szCs w:val="46"/>
        </w:rPr>
        <w:t xml:space="preserve">ANEXO 2 </w:t>
      </w:r>
    </w:p>
    <w:p w:rsidR="00000000" w:rsidRDefault="001245BD">
      <w:pPr>
        <w:pStyle w:val="Default"/>
        <w:rPr>
          <w:rFonts w:cstheme="minorBidi"/>
          <w:color w:val="auto"/>
        </w:rPr>
      </w:pPr>
    </w:p>
    <w:p w:rsidR="00000000" w:rsidRDefault="001245BD">
      <w:pPr>
        <w:pStyle w:val="CM34"/>
        <w:spacing w:after="862"/>
        <w:jc w:val="center"/>
        <w:rPr>
          <w:sz w:val="46"/>
          <w:szCs w:val="46"/>
        </w:rPr>
      </w:pPr>
      <w:r>
        <w:rPr>
          <w:sz w:val="46"/>
          <w:szCs w:val="46"/>
        </w:rPr>
        <w:t xml:space="preserve">ANTECEDENTES PARA ADMISIBILIDAD </w:t>
      </w:r>
    </w:p>
    <w:p w:rsidR="00000000" w:rsidRDefault="001245BD">
      <w:pPr>
        <w:pStyle w:val="CM36"/>
        <w:spacing w:after="177" w:line="293" w:lineRule="atLeast"/>
        <w:rPr>
          <w:rFonts w:ascii="TTE1CD6728t00" w:hAnsi="TTE1CD6728t00" w:cs="TTE1CD6728t00"/>
          <w:sz w:val="23"/>
          <w:szCs w:val="23"/>
        </w:rPr>
      </w:pPr>
      <w:r>
        <w:rPr>
          <w:rFonts w:ascii="TTE1CD6728t00" w:hAnsi="TTE1CD6728t00" w:cs="TTE1CD6728t00"/>
          <w:sz w:val="23"/>
          <w:szCs w:val="23"/>
        </w:rPr>
        <w:t xml:space="preserve">Recepción de </w:t>
      </w:r>
      <w:r>
        <w:rPr>
          <w:rFonts w:ascii="TTE1CD66B0t00" w:hAnsi="TTE1CD66B0t00" w:cs="TTE1CD66B0t00"/>
          <w:sz w:val="23"/>
          <w:szCs w:val="23"/>
        </w:rPr>
        <w:t>Antecedentes Legales y Técnicos para Admisibilidad</w:t>
      </w:r>
      <w:r>
        <w:rPr>
          <w:rFonts w:ascii="TTE1CD6728t00" w:hAnsi="TTE1CD6728t00" w:cs="TTE1CD6728t00"/>
          <w:sz w:val="23"/>
          <w:szCs w:val="23"/>
        </w:rPr>
        <w:t xml:space="preserve">, de acuerdo a Bases Especiales de Concurso FIC – R 2012, </w:t>
      </w:r>
      <w:r>
        <w:rPr>
          <w:rFonts w:ascii="TTE1CD66B0t00" w:hAnsi="TTE1CD66B0t00" w:cs="TTE1CD66B0t00"/>
          <w:sz w:val="23"/>
          <w:szCs w:val="23"/>
        </w:rPr>
        <w:t xml:space="preserve">hasta las 12.00 hrs. del 28 de Mayo de 2012, </w:t>
      </w:r>
      <w:r>
        <w:rPr>
          <w:rFonts w:ascii="TTE1CD6728t00" w:hAnsi="TTE1CD6728t00" w:cs="TTE1CD6728t00"/>
          <w:sz w:val="23"/>
          <w:szCs w:val="23"/>
        </w:rPr>
        <w:t>en la ofici</w:t>
      </w:r>
      <w:r>
        <w:rPr>
          <w:rFonts w:ascii="TTE1CD6728t00" w:hAnsi="TTE1CD6728t00" w:cs="TTE1CD6728t00"/>
          <w:sz w:val="23"/>
          <w:szCs w:val="23"/>
        </w:rPr>
        <w:t xml:space="preserve">na de partes del Gobierno Regional de Magallanes y Antártica Chilena, ubicada en calle Bories N°901. </w:t>
      </w:r>
    </w:p>
    <w:p w:rsidR="00000000" w:rsidRDefault="001245BD">
      <w:pPr>
        <w:pStyle w:val="CM44"/>
        <w:spacing w:after="477" w:line="293" w:lineRule="atLeast"/>
        <w:rPr>
          <w:rFonts w:ascii="TTE1CD66B0t00" w:hAnsi="TTE1CD66B0t00" w:cs="TTE1CD66B0t00"/>
          <w:sz w:val="23"/>
          <w:szCs w:val="23"/>
        </w:rPr>
      </w:pPr>
      <w:r>
        <w:rPr>
          <w:rFonts w:ascii="TTE1CD66B0t00" w:hAnsi="TTE1CD66B0t00" w:cs="TTE1CD66B0t00"/>
          <w:sz w:val="23"/>
          <w:szCs w:val="23"/>
        </w:rPr>
        <w:t xml:space="preserve">LOS ANTECEDENTES IMPRESOS EN ORIGINAL CON DOS COPIAS Y DOS CD CON LOS ARCHIVOS DIGITALES </w:t>
      </w:r>
    </w:p>
    <w:p w:rsidR="00000000" w:rsidRDefault="001245BD">
      <w:pPr>
        <w:pStyle w:val="CM37"/>
        <w:spacing w:after="277" w:line="293" w:lineRule="atLeast"/>
        <w:rPr>
          <w:rFonts w:ascii="TTE1CD66B0t00" w:hAnsi="TTE1CD66B0t00" w:cs="TTE1CD66B0t00"/>
          <w:sz w:val="23"/>
          <w:szCs w:val="23"/>
        </w:rPr>
      </w:pPr>
      <w:r>
        <w:rPr>
          <w:rFonts w:ascii="TTE1CD66B0t00" w:hAnsi="TTE1CD66B0t00" w:cs="TTE1CD66B0t00"/>
          <w:sz w:val="23"/>
          <w:szCs w:val="23"/>
        </w:rPr>
        <w:t xml:space="preserve">Los documentos a incorporar en los antecedentes son: </w:t>
      </w:r>
    </w:p>
    <w:p w:rsidR="00000000" w:rsidRDefault="001245BD">
      <w:pPr>
        <w:pStyle w:val="CM40"/>
        <w:spacing w:after="565" w:line="271" w:lineRule="atLeast"/>
        <w:ind w:left="690" w:hanging="350"/>
        <w:rPr>
          <w:rFonts w:ascii="TTE1CD66B0t00" w:hAnsi="TTE1CD66B0t00" w:cs="TTE1CD66B0t00"/>
          <w:sz w:val="23"/>
          <w:szCs w:val="23"/>
        </w:rPr>
      </w:pPr>
      <w:r>
        <w:rPr>
          <w:rFonts w:ascii="TTE1CD66B0t00" w:hAnsi="TTE1CD66B0t00" w:cs="TTE1CD66B0t00"/>
          <w:sz w:val="23"/>
          <w:szCs w:val="23"/>
        </w:rPr>
        <w:t xml:space="preserve">a) </w:t>
      </w:r>
      <w:r>
        <w:rPr>
          <w:rFonts w:ascii="TTE1CD66B0t00" w:hAnsi="TTE1CD66B0t00" w:cs="TTE1CD66B0t00"/>
          <w:sz w:val="23"/>
          <w:szCs w:val="23"/>
        </w:rPr>
        <w:t>Antecedentes Generales, Legales y Técnicos definidos en el presente Anexo ó, Certificado emitido por la Corporación de Fomento de la Producción CORFO, actualizado. En los casos en que las Instituciones de Investigación tengan sucursales regionales, se debe</w:t>
      </w:r>
      <w:r>
        <w:rPr>
          <w:rFonts w:ascii="TTE1CD66B0t00" w:hAnsi="TTE1CD66B0t00" w:cs="TTE1CD66B0t00"/>
          <w:sz w:val="23"/>
          <w:szCs w:val="23"/>
        </w:rPr>
        <w:t xml:space="preserve">rá incluir en la certificación de CORFO, la unidad regional que está postulando al concurso. </w:t>
      </w:r>
    </w:p>
    <w:p w:rsidR="00000000" w:rsidRDefault="001245BD">
      <w:pPr>
        <w:pStyle w:val="CM23"/>
        <w:ind w:left="690" w:hanging="350"/>
        <w:rPr>
          <w:rFonts w:ascii="TTE1CD66B0t00" w:hAnsi="TTE1CD66B0t00" w:cs="TTE1CD66B0t00"/>
          <w:sz w:val="23"/>
          <w:szCs w:val="23"/>
        </w:rPr>
      </w:pPr>
      <w:r>
        <w:rPr>
          <w:rFonts w:ascii="TTE1CD66B0t00" w:hAnsi="TTE1CD66B0t00" w:cs="TTE1CD66B0t00"/>
          <w:sz w:val="23"/>
          <w:szCs w:val="23"/>
        </w:rPr>
        <w:t>b) Declaración Jurada dirigida al Intendente, donde declara conocer las bases y se compromete a informar, rendir al GORE en el tiempo que corresponda y hacer buen</w:t>
      </w:r>
      <w:r>
        <w:rPr>
          <w:rFonts w:ascii="TTE1CD66B0t00" w:hAnsi="TTE1CD66B0t00" w:cs="TTE1CD66B0t00"/>
          <w:sz w:val="23"/>
          <w:szCs w:val="23"/>
        </w:rPr>
        <w:t xml:space="preserve"> uso de los recursos del FIC</w:t>
      </w:r>
      <w:r>
        <w:rPr>
          <w:rFonts w:ascii="TTE1CD66B0t00" w:hAnsi="TTE1CD66B0t00" w:cs="TTE1CD66B0t00"/>
          <w:sz w:val="23"/>
          <w:szCs w:val="23"/>
        </w:rPr>
        <w:softHyphen/>
        <w:t xml:space="preserve">R, en caso de acceder a estos recursos. </w:t>
      </w:r>
    </w:p>
    <w:p w:rsidR="00000000" w:rsidRDefault="007433DA">
      <w:pPr>
        <w:pStyle w:val="Default"/>
        <w:pageBreakBefore/>
        <w:framePr w:w="9396" w:wrap="auto" w:vAnchor="page" w:hAnchor="page" w:x="1656" w:y="1404"/>
        <w:rPr>
          <w:rFonts w:ascii="TTE1CD66B0t00" w:hAnsi="TTE1CD66B0t00" w:cs="TTE1CD66B0t00"/>
          <w:color w:val="auto"/>
          <w:sz w:val="23"/>
          <w:szCs w:val="23"/>
        </w:rPr>
      </w:pPr>
      <w:r>
        <w:rPr>
          <w:rFonts w:ascii="TTE1CD66B0t00" w:hAnsi="TTE1CD66B0t00" w:cs="TTE1CD66B0t00"/>
          <w:noProof/>
          <w:color w:val="auto"/>
          <w:sz w:val="23"/>
          <w:szCs w:val="23"/>
        </w:rPr>
        <w:lastRenderedPageBreak/>
        <w:drawing>
          <wp:inline distT="0" distB="0" distL="0" distR="0">
            <wp:extent cx="5457825" cy="578167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5457825" cy="5781675"/>
                    </a:xfrm>
                    <a:prstGeom prst="rect">
                      <a:avLst/>
                    </a:prstGeom>
                    <a:noFill/>
                    <a:ln w="9525">
                      <a:noFill/>
                      <a:miter lim="800000"/>
                      <a:headEnd/>
                      <a:tailEnd/>
                    </a:ln>
                  </pic:spPr>
                </pic:pic>
              </a:graphicData>
            </a:graphic>
          </wp:inline>
        </w:drawing>
      </w:r>
    </w:p>
    <w:p w:rsidR="00000000" w:rsidRDefault="007433DA">
      <w:pPr>
        <w:pStyle w:val="Default"/>
        <w:pageBreakBefore/>
        <w:framePr w:w="8897" w:wrap="auto" w:vAnchor="page" w:hAnchor="page" w:x="1683" w:y="1404"/>
        <w:spacing w:after="320"/>
        <w:rPr>
          <w:rFonts w:ascii="TTE1CD66B0t00" w:hAnsi="TTE1CD66B0t00" w:cs="TTE1CD66B0t00"/>
          <w:color w:val="auto"/>
          <w:sz w:val="23"/>
          <w:szCs w:val="23"/>
        </w:rPr>
      </w:pPr>
      <w:r>
        <w:rPr>
          <w:rFonts w:ascii="TTE1CD66B0t00" w:hAnsi="TTE1CD66B0t00" w:cs="TTE1CD66B0t00"/>
          <w:noProof/>
          <w:color w:val="auto"/>
          <w:sz w:val="23"/>
          <w:szCs w:val="23"/>
        </w:rPr>
        <w:lastRenderedPageBreak/>
        <w:drawing>
          <wp:inline distT="0" distB="0" distL="0" distR="0">
            <wp:extent cx="5143500" cy="9525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5143500" cy="952500"/>
                    </a:xfrm>
                    <a:prstGeom prst="rect">
                      <a:avLst/>
                    </a:prstGeom>
                    <a:noFill/>
                    <a:ln w="9525">
                      <a:noFill/>
                      <a:miter lim="800000"/>
                      <a:headEnd/>
                      <a:tailEnd/>
                    </a:ln>
                  </pic:spPr>
                </pic:pic>
              </a:graphicData>
            </a:graphic>
          </wp:inline>
        </w:drawing>
      </w:r>
    </w:p>
    <w:p w:rsidR="00000000" w:rsidRDefault="007433DA">
      <w:pPr>
        <w:pStyle w:val="Default"/>
        <w:framePr w:w="7229" w:wrap="auto" w:vAnchor="page" w:hAnchor="page" w:x="1844" w:y="3216"/>
        <w:spacing w:after="38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4086225" cy="3352800"/>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a:stretch>
                      <a:fillRect/>
                    </a:stretch>
                  </pic:blipFill>
                  <pic:spPr bwMode="auto">
                    <a:xfrm>
                      <a:off x="0" y="0"/>
                      <a:ext cx="4086225" cy="3352800"/>
                    </a:xfrm>
                    <a:prstGeom prst="rect">
                      <a:avLst/>
                    </a:prstGeom>
                    <a:noFill/>
                    <a:ln w="9525">
                      <a:noFill/>
                      <a:miter lim="800000"/>
                      <a:headEnd/>
                      <a:tailEnd/>
                    </a:ln>
                  </pic:spPr>
                </pic:pic>
              </a:graphicData>
            </a:graphic>
          </wp:inline>
        </w:drawing>
      </w:r>
    </w:p>
    <w:p w:rsidR="00000000" w:rsidRDefault="007433DA">
      <w:pPr>
        <w:pStyle w:val="Default"/>
        <w:framePr w:w="6836" w:wrap="auto" w:vAnchor="page" w:hAnchor="page" w:x="2144" w:y="8876"/>
        <w:spacing w:after="22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3838575" cy="485775"/>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srcRect/>
                    <a:stretch>
                      <a:fillRect/>
                    </a:stretch>
                  </pic:blipFill>
                  <pic:spPr bwMode="auto">
                    <a:xfrm>
                      <a:off x="0" y="0"/>
                      <a:ext cx="3838575" cy="485775"/>
                    </a:xfrm>
                    <a:prstGeom prst="rect">
                      <a:avLst/>
                    </a:prstGeom>
                    <a:noFill/>
                    <a:ln w="9525">
                      <a:noFill/>
                      <a:miter lim="800000"/>
                      <a:headEnd/>
                      <a:tailEnd/>
                    </a:ln>
                  </pic:spPr>
                </pic:pic>
              </a:graphicData>
            </a:graphic>
          </wp:inline>
        </w:drawing>
      </w:r>
    </w:p>
    <w:p w:rsidR="00000000" w:rsidRDefault="007433DA">
      <w:pPr>
        <w:pStyle w:val="Default"/>
        <w:framePr w:w="6836" w:wrap="auto" w:vAnchor="page" w:hAnchor="page" w:x="2144" w:y="9862"/>
        <w:spacing w:after="28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3838575" cy="561975"/>
            <wp:effectExtent l="1905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3838575" cy="561975"/>
                    </a:xfrm>
                    <a:prstGeom prst="rect">
                      <a:avLst/>
                    </a:prstGeom>
                    <a:noFill/>
                    <a:ln w="9525">
                      <a:noFill/>
                      <a:miter lim="800000"/>
                      <a:headEnd/>
                      <a:tailEnd/>
                    </a:ln>
                  </pic:spPr>
                </pic:pic>
              </a:graphicData>
            </a:graphic>
          </wp:inline>
        </w:drawing>
      </w:r>
    </w:p>
    <w:p w:rsidR="00000000" w:rsidRDefault="007433DA">
      <w:pPr>
        <w:pStyle w:val="Default"/>
        <w:framePr w:w="6838" w:wrap="auto" w:vAnchor="page" w:hAnchor="page" w:x="2148" w:y="11031"/>
        <w:spacing w:after="48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3838575" cy="609600"/>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3838575" cy="609600"/>
                    </a:xfrm>
                    <a:prstGeom prst="rect">
                      <a:avLst/>
                    </a:prstGeom>
                    <a:noFill/>
                    <a:ln w="9525">
                      <a:noFill/>
                      <a:miter lim="800000"/>
                      <a:headEnd/>
                      <a:tailEnd/>
                    </a:ln>
                  </pic:spPr>
                </pic:pic>
              </a:graphicData>
            </a:graphic>
          </wp:inline>
        </w:drawing>
      </w:r>
    </w:p>
    <w:p w:rsidR="00000000" w:rsidRDefault="007433DA">
      <w:pPr>
        <w:pStyle w:val="Default"/>
        <w:framePr w:w="2248" w:wrap="auto" w:vAnchor="page" w:hAnchor="page" w:x="8620" w:y="3312"/>
        <w:spacing w:after="92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914400" cy="1990725"/>
            <wp:effectExtent l="1905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914400" cy="1990725"/>
                    </a:xfrm>
                    <a:prstGeom prst="rect">
                      <a:avLst/>
                    </a:prstGeom>
                    <a:noFill/>
                    <a:ln w="9525">
                      <a:noFill/>
                      <a:miter lim="800000"/>
                      <a:headEnd/>
                      <a:tailEnd/>
                    </a:ln>
                  </pic:spPr>
                </pic:pic>
              </a:graphicData>
            </a:graphic>
          </wp:inline>
        </w:drawing>
      </w:r>
    </w:p>
    <w:p w:rsidR="00000000" w:rsidRDefault="007433DA">
      <w:pPr>
        <w:pStyle w:val="Default"/>
        <w:framePr w:w="2245" w:wrap="auto" w:vAnchor="page" w:hAnchor="page" w:x="8690" w:y="7371"/>
        <w:spacing w:after="100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914400" cy="4572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914400" cy="457200"/>
                    </a:xfrm>
                    <a:prstGeom prst="rect">
                      <a:avLst/>
                    </a:prstGeom>
                    <a:noFill/>
                    <a:ln w="9525">
                      <a:noFill/>
                      <a:miter lim="800000"/>
                      <a:headEnd/>
                      <a:tailEnd/>
                    </a:ln>
                  </pic:spPr>
                </pic:pic>
              </a:graphicData>
            </a:graphic>
          </wp:inline>
        </w:drawing>
      </w:r>
    </w:p>
    <w:p w:rsidR="00000000" w:rsidRDefault="007433DA">
      <w:pPr>
        <w:pStyle w:val="Default"/>
        <w:framePr w:w="2245" w:wrap="auto" w:vAnchor="page" w:hAnchor="page" w:x="8690" w:y="9084"/>
        <w:spacing w:after="78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914400" cy="80962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914400" cy="809625"/>
                    </a:xfrm>
                    <a:prstGeom prst="rect">
                      <a:avLst/>
                    </a:prstGeom>
                    <a:noFill/>
                    <a:ln w="9525">
                      <a:noFill/>
                      <a:miter lim="800000"/>
                      <a:headEnd/>
                      <a:tailEnd/>
                    </a:ln>
                  </pic:spPr>
                </pic:pic>
              </a:graphicData>
            </a:graphic>
          </wp:inline>
        </w:drawing>
      </w:r>
    </w:p>
    <w:p w:rsidR="00000000" w:rsidRDefault="007433DA">
      <w:pPr>
        <w:pStyle w:val="Default"/>
        <w:framePr w:w="805" w:wrap="auto" w:vAnchor="page" w:hAnchor="page" w:x="10113" w:y="11129"/>
        <w:spacing w:after="70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9525" cy="228600"/>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srcRect/>
                    <a:stretch>
                      <a:fillRect/>
                    </a:stretch>
                  </pic:blipFill>
                  <pic:spPr bwMode="auto">
                    <a:xfrm>
                      <a:off x="0" y="0"/>
                      <a:ext cx="9525" cy="228600"/>
                    </a:xfrm>
                    <a:prstGeom prst="rect">
                      <a:avLst/>
                    </a:prstGeom>
                    <a:noFill/>
                    <a:ln w="9525">
                      <a:noFill/>
                      <a:miter lim="800000"/>
                      <a:headEnd/>
                      <a:tailEnd/>
                    </a:ln>
                  </pic:spPr>
                </pic:pic>
              </a:graphicData>
            </a:graphic>
          </wp:inline>
        </w:drawing>
      </w:r>
    </w:p>
    <w:p w:rsidR="00000000" w:rsidRDefault="007433DA">
      <w:pPr>
        <w:pStyle w:val="Default"/>
        <w:framePr w:w="4659" w:wrap="auto" w:vAnchor="page" w:hAnchor="page" w:x="4985" w:y="1218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2447925" cy="571500"/>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srcRect/>
                    <a:stretch>
                      <a:fillRect/>
                    </a:stretch>
                  </pic:blipFill>
                  <pic:spPr bwMode="auto">
                    <a:xfrm>
                      <a:off x="0" y="0"/>
                      <a:ext cx="2447925" cy="571500"/>
                    </a:xfrm>
                    <a:prstGeom prst="rect">
                      <a:avLst/>
                    </a:prstGeom>
                    <a:noFill/>
                    <a:ln w="9525">
                      <a:noFill/>
                      <a:miter lim="800000"/>
                      <a:headEnd/>
                      <a:tailEnd/>
                    </a:ln>
                  </pic:spPr>
                </pic:pic>
              </a:graphicData>
            </a:graphic>
          </wp:inline>
        </w:drawing>
      </w:r>
    </w:p>
    <w:p w:rsidR="00000000" w:rsidRDefault="007433DA">
      <w:pPr>
        <w:pStyle w:val="Default"/>
        <w:pageBreakBefore/>
        <w:framePr w:w="10268" w:wrap="auto" w:vAnchor="page" w:hAnchor="page" w:x="1140" w:y="1404"/>
        <w:spacing w:after="400"/>
        <w:rPr>
          <w:rFonts w:ascii="TTE1CD66B0t00" w:hAnsi="TTE1CD66B0t00" w:cs="TTE1CD66B0t00"/>
          <w:color w:val="auto"/>
          <w:sz w:val="23"/>
          <w:szCs w:val="23"/>
        </w:rPr>
      </w:pPr>
      <w:r>
        <w:rPr>
          <w:rFonts w:ascii="TTE1CD66B0t00" w:hAnsi="TTE1CD66B0t00" w:cs="TTE1CD66B0t00"/>
          <w:noProof/>
          <w:color w:val="auto"/>
          <w:sz w:val="23"/>
          <w:szCs w:val="23"/>
        </w:rPr>
        <w:lastRenderedPageBreak/>
        <w:drawing>
          <wp:inline distT="0" distB="0" distL="0" distR="0">
            <wp:extent cx="6010275" cy="723900"/>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srcRect/>
                    <a:stretch>
                      <a:fillRect/>
                    </a:stretch>
                  </pic:blipFill>
                  <pic:spPr bwMode="auto">
                    <a:xfrm>
                      <a:off x="0" y="0"/>
                      <a:ext cx="6010275" cy="723900"/>
                    </a:xfrm>
                    <a:prstGeom prst="rect">
                      <a:avLst/>
                    </a:prstGeom>
                    <a:noFill/>
                    <a:ln w="9525">
                      <a:noFill/>
                      <a:miter lim="800000"/>
                      <a:headEnd/>
                      <a:tailEnd/>
                    </a:ln>
                  </pic:spPr>
                </pic:pic>
              </a:graphicData>
            </a:graphic>
          </wp:inline>
        </w:drawing>
      </w:r>
    </w:p>
    <w:p w:rsidR="00000000" w:rsidRDefault="007433DA">
      <w:pPr>
        <w:pStyle w:val="Default"/>
        <w:framePr w:w="3543" w:wrap="auto" w:vAnchor="page" w:hAnchor="page" w:x="1198" w:y="2923"/>
        <w:spacing w:after="220"/>
        <w:rPr>
          <w:rFonts w:ascii="TTE1CD66B0t00" w:hAnsi="TTE1CD66B0t00" w:cs="TTE1CD66B0t00"/>
          <w:color w:val="auto"/>
          <w:sz w:val="23"/>
          <w:szCs w:val="23"/>
        </w:rPr>
      </w:pPr>
      <w:r>
        <w:rPr>
          <w:rFonts w:ascii="TTE1CD66B0t00" w:hAnsi="TTE1CD66B0t00" w:cs="TTE1CD66B0t00"/>
          <w:noProof/>
          <w:color w:val="auto"/>
          <w:sz w:val="23"/>
          <w:szCs w:val="23"/>
        </w:rPr>
        <w:drawing>
          <wp:inline distT="0" distB="0" distL="0" distR="0">
            <wp:extent cx="1743075" cy="142875"/>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srcRect/>
                    <a:stretch>
                      <a:fillRect/>
                    </a:stretch>
                  </pic:blipFill>
                  <pic:spPr bwMode="auto">
                    <a:xfrm>
                      <a:off x="0" y="0"/>
                      <a:ext cx="1743075" cy="142875"/>
                    </a:xfrm>
                    <a:prstGeom prst="rect">
                      <a:avLst/>
                    </a:prstGeom>
                    <a:noFill/>
                    <a:ln w="9525">
                      <a:noFill/>
                      <a:miter lim="800000"/>
                      <a:headEnd/>
                      <a:tailEnd/>
                    </a:ln>
                  </pic:spPr>
                </pic:pic>
              </a:graphicData>
            </a:graphic>
          </wp:inline>
        </w:drawing>
      </w:r>
    </w:p>
    <w:p w:rsidR="00000000" w:rsidRDefault="001245BD">
      <w:pPr>
        <w:pStyle w:val="CM3"/>
        <w:jc w:val="both"/>
        <w:rPr>
          <w:rFonts w:ascii="Helvetica" w:hAnsi="Helvetica" w:cs="Helvetica"/>
          <w:sz w:val="17"/>
          <w:szCs w:val="17"/>
        </w:rPr>
      </w:pPr>
      <w:r>
        <w:rPr>
          <w:rFonts w:ascii="Helvetica" w:hAnsi="Helvetica" w:cs="Helvetica"/>
          <w:sz w:val="17"/>
          <w:szCs w:val="17"/>
        </w:rPr>
        <w:t xml:space="preserve">Según reglamento N°68 del Ministerio de Economía se debe satisfacer al menos </w:t>
      </w:r>
    </w:p>
    <w:p w:rsidR="00000000" w:rsidRDefault="001245BD">
      <w:pPr>
        <w:pStyle w:val="Default"/>
        <w:ind w:left="8292"/>
        <w:rPr>
          <w:rFonts w:ascii="TTE1D06110t00" w:hAnsi="TTE1D06110t00" w:cs="TTE1D06110t00"/>
          <w:color w:val="auto"/>
          <w:sz w:val="12"/>
          <w:szCs w:val="12"/>
        </w:rPr>
      </w:pPr>
      <w:r>
        <w:rPr>
          <w:rFonts w:ascii="TTE1D06110t00" w:hAnsi="TTE1D06110t00" w:cs="TTE1D06110t00"/>
          <w:color w:val="auto"/>
          <w:sz w:val="12"/>
          <w:szCs w:val="12"/>
        </w:rPr>
        <w:t xml:space="preserve">Cifras en M$ </w:t>
      </w:r>
    </w:p>
    <w:p w:rsidR="00000000" w:rsidRDefault="007433DA">
      <w:pPr>
        <w:pStyle w:val="CM35"/>
        <w:spacing w:after="170"/>
        <w:jc w:val="both"/>
        <w:rPr>
          <w:rFonts w:ascii="TTE1D24708t00" w:hAnsi="TTE1D24708t00" w:cs="TTE1D24708t00"/>
          <w:sz w:val="12"/>
          <w:szCs w:val="12"/>
        </w:rPr>
      </w:pPr>
      <w:r>
        <w:rPr>
          <w:rFonts w:ascii="TTE1D06110t00" w:hAnsi="TTE1D06110t00" w:cs="TTE1D06110t00"/>
          <w:noProof/>
          <w:sz w:val="12"/>
          <w:szCs w:val="12"/>
        </w:rPr>
        <w:drawing>
          <wp:inline distT="0" distB="0" distL="0" distR="0">
            <wp:extent cx="638175" cy="10477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srcRect/>
                    <a:stretch>
                      <a:fillRect/>
                    </a:stretch>
                  </pic:blipFill>
                  <pic:spPr bwMode="auto">
                    <a:xfrm>
                      <a:off x="0" y="0"/>
                      <a:ext cx="638175" cy="104775"/>
                    </a:xfrm>
                    <a:prstGeom prst="rect">
                      <a:avLst/>
                    </a:prstGeom>
                    <a:noFill/>
                    <a:ln w="9525">
                      <a:noFill/>
                      <a:miter lim="800000"/>
                      <a:headEnd/>
                      <a:tailEnd/>
                    </a:ln>
                  </pic:spPr>
                </pic:pic>
              </a:graphicData>
            </a:graphic>
          </wp:inline>
        </w:drawing>
      </w:r>
      <w:r w:rsidR="001245BD">
        <w:rPr>
          <w:rFonts w:ascii="TTE1D24708t00" w:hAnsi="TTE1D24708t00" w:cs="TTE1D24708t00"/>
          <w:sz w:val="12"/>
          <w:szCs w:val="12"/>
        </w:rPr>
        <w:t xml:space="preserve">Resultados </w:t>
      </w:r>
    </w:p>
    <w:p w:rsidR="00000000" w:rsidRDefault="007433DA">
      <w:pPr>
        <w:pStyle w:val="Default"/>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752600" cy="10477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1752600" cy="104775"/>
                    </a:xfrm>
                    <a:prstGeom prst="rect">
                      <a:avLst/>
                    </a:prstGeom>
                    <a:noFill/>
                    <a:ln w="9525">
                      <a:noFill/>
                      <a:miter lim="800000"/>
                      <a:headEnd/>
                      <a:tailEnd/>
                    </a:ln>
                  </pic:spPr>
                </pic:pic>
              </a:graphicData>
            </a:graphic>
          </wp:inline>
        </w:drawing>
      </w:r>
      <w:r w:rsidR="001245BD">
        <w:rPr>
          <w:rFonts w:ascii="TTE1D24708t00" w:hAnsi="TTE1D24708t00" w:cs="TTE1D24708t00"/>
          <w:color w:val="auto"/>
          <w:sz w:val="12"/>
          <w:szCs w:val="12"/>
        </w:rPr>
        <w:t xml:space="preserve">responsabilidad </w:t>
      </w:r>
    </w:p>
    <w:p w:rsidR="00000000" w:rsidRDefault="001245BD">
      <w:pPr>
        <w:pStyle w:val="CM35"/>
        <w:spacing w:after="170"/>
        <w:jc w:val="both"/>
        <w:rPr>
          <w:rFonts w:ascii="TTE1D24708t00" w:hAnsi="TTE1D24708t00" w:cs="TTE1D24708t00"/>
          <w:sz w:val="12"/>
          <w:szCs w:val="12"/>
        </w:rPr>
      </w:pPr>
      <w:r>
        <w:rPr>
          <w:rFonts w:ascii="TTE1D24708t00" w:hAnsi="TTE1D24708t00" w:cs="TTE1D24708t00"/>
          <w:sz w:val="12"/>
          <w:szCs w:val="12"/>
        </w:rPr>
        <w:t xml:space="preserve">correspondiente, </w:t>
      </w:r>
    </w:p>
    <w:p w:rsidR="00000000" w:rsidRDefault="007433DA">
      <w:pPr>
        <w:pStyle w:val="CM24"/>
        <w:rPr>
          <w:rFonts w:ascii="TTE1D24708t00" w:hAnsi="TTE1D24708t00" w:cs="TTE1D24708t00"/>
          <w:sz w:val="12"/>
          <w:szCs w:val="12"/>
        </w:rPr>
      </w:pPr>
      <w:r>
        <w:rPr>
          <w:rFonts w:ascii="TTE1D24708t00" w:hAnsi="TTE1D24708t00" w:cs="TTE1D24708t00"/>
          <w:noProof/>
          <w:sz w:val="12"/>
          <w:szCs w:val="12"/>
        </w:rPr>
        <w:drawing>
          <wp:inline distT="0" distB="0" distL="0" distR="0">
            <wp:extent cx="2057400" cy="10477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rcRect/>
                    <a:stretch>
                      <a:fillRect/>
                    </a:stretch>
                  </pic:blipFill>
                  <pic:spPr bwMode="auto">
                    <a:xfrm>
                      <a:off x="0" y="0"/>
                      <a:ext cx="2057400" cy="104775"/>
                    </a:xfrm>
                    <a:prstGeom prst="rect">
                      <a:avLst/>
                    </a:prstGeom>
                    <a:noFill/>
                    <a:ln w="9525">
                      <a:noFill/>
                      <a:miter lim="800000"/>
                      <a:headEnd/>
                      <a:tailEnd/>
                    </a:ln>
                  </pic:spPr>
                </pic:pic>
              </a:graphicData>
            </a:graphic>
          </wp:inline>
        </w:drawing>
      </w:r>
      <w:r w:rsidR="001245BD">
        <w:rPr>
          <w:rFonts w:ascii="TTE1D24708t00" w:hAnsi="TTE1D24708t00" w:cs="TTE1D24708t00"/>
          <w:sz w:val="12"/>
          <w:szCs w:val="12"/>
        </w:rPr>
        <w:t xml:space="preserve">presentación </w:t>
      </w:r>
    </w:p>
    <w:p w:rsidR="00000000" w:rsidRDefault="001245BD">
      <w:pPr>
        <w:pStyle w:val="CM35"/>
        <w:spacing w:after="170"/>
        <w:jc w:val="both"/>
        <w:rPr>
          <w:rFonts w:ascii="TTE1D24708t00" w:hAnsi="TTE1D24708t00" w:cs="TTE1D24708t00"/>
          <w:sz w:val="12"/>
          <w:szCs w:val="12"/>
        </w:rPr>
      </w:pPr>
      <w:r>
        <w:rPr>
          <w:rFonts w:ascii="TTE1D24708t00" w:hAnsi="TTE1D24708t00" w:cs="TTE1D24708t00"/>
          <w:sz w:val="12"/>
          <w:szCs w:val="12"/>
        </w:rPr>
        <w:t xml:space="preserve">antecedentes, </w:t>
      </w:r>
    </w:p>
    <w:p w:rsidR="00000000" w:rsidRDefault="001245BD">
      <w:pPr>
        <w:pStyle w:val="Default"/>
        <w:ind w:left="1632" w:right="5870"/>
        <w:rPr>
          <w:rFonts w:ascii="TTE1D24708t00" w:hAnsi="TTE1D24708t00" w:cs="TTE1D24708t00"/>
          <w:color w:val="auto"/>
          <w:sz w:val="12"/>
          <w:szCs w:val="12"/>
        </w:rPr>
      </w:pPr>
      <w:r>
        <w:rPr>
          <w:rFonts w:ascii="TTE1D24708t00" w:hAnsi="TTE1D24708t00" w:cs="TTE1D24708t00"/>
          <w:color w:val="auto"/>
          <w:sz w:val="12"/>
          <w:szCs w:val="12"/>
        </w:rPr>
        <w:t xml:space="preserve">documento equivalente. </w:t>
      </w:r>
    </w:p>
    <w:p w:rsidR="00000000" w:rsidRDefault="007433DA">
      <w:pPr>
        <w:pStyle w:val="CM36"/>
        <w:spacing w:after="177"/>
        <w:ind w:left="3617" w:right="4647"/>
        <w:rPr>
          <w:rFonts w:ascii="TTE1D24708t00" w:hAnsi="TTE1D24708t00" w:cs="TTE1D24708t00"/>
          <w:sz w:val="12"/>
          <w:szCs w:val="12"/>
        </w:rPr>
      </w:pPr>
      <w:r>
        <w:rPr>
          <w:rFonts w:ascii="TTE1D24708t00" w:hAnsi="TTE1D24708t00" w:cs="TTE1D24708t00"/>
          <w:noProof/>
          <w:sz w:val="12"/>
          <w:szCs w:val="12"/>
        </w:rPr>
        <w:drawing>
          <wp:inline distT="0" distB="0" distL="0" distR="0">
            <wp:extent cx="180975" cy="104775"/>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001245BD">
        <w:rPr>
          <w:rFonts w:ascii="TTE1D24708t00" w:hAnsi="TTE1D24708t00" w:cs="TTE1D24708t00"/>
          <w:sz w:val="12"/>
          <w:szCs w:val="12"/>
        </w:rPr>
        <w:t xml:space="preserve">presentación </w:t>
      </w:r>
    </w:p>
    <w:p w:rsidR="00000000" w:rsidRDefault="001245BD">
      <w:pPr>
        <w:pStyle w:val="CM42"/>
        <w:spacing w:after="250"/>
        <w:ind w:left="4730" w:right="3517"/>
        <w:rPr>
          <w:rFonts w:ascii="TTE1D24708t00" w:hAnsi="TTE1D24708t00" w:cs="TTE1D24708t00"/>
          <w:sz w:val="12"/>
          <w:szCs w:val="12"/>
        </w:rPr>
      </w:pPr>
      <w:r>
        <w:rPr>
          <w:rFonts w:ascii="TTE1D24708t00" w:hAnsi="TTE1D24708t00" w:cs="TTE1D24708t00"/>
          <w:sz w:val="12"/>
          <w:szCs w:val="12"/>
        </w:rPr>
        <w:t xml:space="preserve">antecedentes </w:t>
      </w:r>
    </w:p>
    <w:p w:rsidR="00000000" w:rsidRDefault="007433DA">
      <w:pPr>
        <w:pStyle w:val="Default"/>
        <w:framePr w:w="951" w:wrap="auto" w:vAnchor="page" w:hAnchor="page" w:x="7114" w:y="3924"/>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85725" cy="21907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srcRect/>
                    <a:stretch>
                      <a:fillRect/>
                    </a:stretch>
                  </pic:blipFill>
                  <pic:spPr bwMode="auto">
                    <a:xfrm>
                      <a:off x="0" y="0"/>
                      <a:ext cx="85725" cy="219075"/>
                    </a:xfrm>
                    <a:prstGeom prst="rect">
                      <a:avLst/>
                    </a:prstGeom>
                    <a:noFill/>
                    <a:ln w="9525">
                      <a:noFill/>
                      <a:miter lim="800000"/>
                      <a:headEnd/>
                      <a:tailEnd/>
                    </a:ln>
                  </pic:spPr>
                </pic:pic>
              </a:graphicData>
            </a:graphic>
          </wp:inline>
        </w:drawing>
      </w:r>
    </w:p>
    <w:p w:rsidR="00000000" w:rsidRDefault="007433DA">
      <w:pPr>
        <w:pStyle w:val="Default"/>
        <w:framePr w:w="6269" w:wrap="auto" w:vAnchor="page" w:hAnchor="page" w:x="1752" w:y="4282"/>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3467100" cy="10477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srcRect/>
                    <a:stretch>
                      <a:fillRect/>
                    </a:stretch>
                  </pic:blipFill>
                  <pic:spPr bwMode="auto">
                    <a:xfrm>
                      <a:off x="0" y="0"/>
                      <a:ext cx="3467100" cy="104775"/>
                    </a:xfrm>
                    <a:prstGeom prst="rect">
                      <a:avLst/>
                    </a:prstGeom>
                    <a:noFill/>
                    <a:ln w="9525">
                      <a:noFill/>
                      <a:miter lim="800000"/>
                      <a:headEnd/>
                      <a:tailEnd/>
                    </a:ln>
                  </pic:spPr>
                </pic:pic>
              </a:graphicData>
            </a:graphic>
          </wp:inline>
        </w:drawing>
      </w:r>
    </w:p>
    <w:p w:rsidR="00000000" w:rsidRDefault="001245BD">
      <w:pPr>
        <w:pStyle w:val="CM35"/>
        <w:spacing w:after="170" w:line="186" w:lineRule="atLeast"/>
        <w:rPr>
          <w:rFonts w:ascii="TTE1D24708t00" w:hAnsi="TTE1D24708t00" w:cs="TTE1D24708t00"/>
          <w:sz w:val="12"/>
          <w:szCs w:val="12"/>
        </w:rPr>
      </w:pPr>
      <w:r>
        <w:rPr>
          <w:rFonts w:ascii="TTE1D24708t00" w:hAnsi="TTE1D24708t00" w:cs="TTE1D24708t00"/>
          <w:sz w:val="12"/>
          <w:szCs w:val="12"/>
        </w:rPr>
        <w:t xml:space="preserve">(calendario). </w:t>
      </w:r>
    </w:p>
    <w:p w:rsidR="00000000" w:rsidRDefault="007433DA">
      <w:pPr>
        <w:pStyle w:val="CM42"/>
        <w:spacing w:after="250" w:line="186" w:lineRule="atLeast"/>
        <w:rPr>
          <w:rFonts w:ascii="TTE1D24708t00" w:hAnsi="TTE1D24708t00" w:cs="TTE1D24708t00"/>
          <w:sz w:val="12"/>
          <w:szCs w:val="12"/>
        </w:rPr>
      </w:pPr>
      <w:r>
        <w:rPr>
          <w:rFonts w:ascii="TTE1D24708t00" w:hAnsi="TTE1D24708t00" w:cs="TTE1D24708t00"/>
          <w:noProof/>
          <w:sz w:val="12"/>
          <w:szCs w:val="12"/>
        </w:rPr>
        <w:drawing>
          <wp:inline distT="0" distB="0" distL="0" distR="0">
            <wp:extent cx="638175" cy="10477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srcRect/>
                    <a:stretch>
                      <a:fillRect/>
                    </a:stretch>
                  </pic:blipFill>
                  <pic:spPr bwMode="auto">
                    <a:xfrm>
                      <a:off x="0" y="0"/>
                      <a:ext cx="638175" cy="104775"/>
                    </a:xfrm>
                    <a:prstGeom prst="rect">
                      <a:avLst/>
                    </a:prstGeom>
                    <a:noFill/>
                    <a:ln w="9525">
                      <a:noFill/>
                      <a:miter lim="800000"/>
                      <a:headEnd/>
                      <a:tailEnd/>
                    </a:ln>
                  </pic:spPr>
                </pic:pic>
              </a:graphicData>
            </a:graphic>
          </wp:inline>
        </w:drawing>
      </w:r>
      <w:r w:rsidR="001245BD">
        <w:rPr>
          <w:rFonts w:ascii="TTE1D24708t00" w:hAnsi="TTE1D24708t00" w:cs="TTE1D24708t00"/>
          <w:sz w:val="12"/>
          <w:szCs w:val="12"/>
        </w:rPr>
        <w:t xml:space="preserve">presentación agregar el EERR del primer semestre del año en curso. </w:t>
      </w:r>
    </w:p>
    <w:p w:rsidR="00000000" w:rsidRDefault="007433DA">
      <w:pPr>
        <w:pStyle w:val="Default"/>
        <w:framePr w:w="3324" w:wrap="auto" w:vAnchor="page" w:hAnchor="page" w:x="4707" w:y="4462"/>
        <w:spacing w:after="16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609725" cy="10477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srcRect/>
                    <a:stretch>
                      <a:fillRect/>
                    </a:stretch>
                  </pic:blipFill>
                  <pic:spPr bwMode="auto">
                    <a:xfrm>
                      <a:off x="0" y="0"/>
                      <a:ext cx="1609725" cy="104775"/>
                    </a:xfrm>
                    <a:prstGeom prst="rect">
                      <a:avLst/>
                    </a:prstGeom>
                    <a:noFill/>
                    <a:ln w="9525">
                      <a:noFill/>
                      <a:miter lim="800000"/>
                      <a:headEnd/>
                      <a:tailEnd/>
                    </a:ln>
                  </pic:spPr>
                </pic:pic>
              </a:graphicData>
            </a:graphic>
          </wp:inline>
        </w:drawing>
      </w:r>
    </w:p>
    <w:p w:rsidR="00000000" w:rsidRDefault="001245BD">
      <w:pPr>
        <w:pStyle w:val="Default"/>
        <w:rPr>
          <w:rFonts w:cstheme="minorBidi"/>
          <w:color w:val="auto"/>
        </w:rPr>
      </w:pPr>
      <w:r>
        <w:rPr>
          <w:noProof/>
        </w:rPr>
        <w:pict>
          <v:shape id="_x0000_s1035" type="#_x0000_t202" style="position:absolute;margin-left:375.55pt;margin-top:176.3pt;width:193.6pt;height:55.5pt;z-index:25166745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792"/>
                    <w:gridCol w:w="880"/>
                    <w:gridCol w:w="530"/>
                    <w:gridCol w:w="265"/>
                    <w:gridCol w:w="605"/>
                    <w:gridCol w:w="280"/>
                    <w:gridCol w:w="58"/>
                    <w:gridCol w:w="255"/>
                    <w:gridCol w:w="95"/>
                    <w:gridCol w:w="875"/>
                    <w:gridCol w:w="957"/>
                    <w:gridCol w:w="2264"/>
                  </w:tblGrid>
                  <w:tr w:rsidR="00000000">
                    <w:tblPrEx>
                      <w:tblCellMar>
                        <w:top w:w="0" w:type="dxa"/>
                        <w:bottom w:w="0" w:type="dxa"/>
                      </w:tblCellMar>
                    </w:tblPrEx>
                    <w:trPr>
                      <w:gridAfter w:val="10"/>
                      <w:wAfter w:w="3461" w:type="dxa"/>
                      <w:trHeight w:val="187"/>
                    </w:trPr>
                    <w:tc>
                      <w:tcPr>
                        <w:tcW w:w="2192"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1245BD">
                        <w:pPr>
                          <w:pStyle w:val="Default"/>
                          <w:jc w:val="center"/>
                          <w:rPr>
                            <w:rFonts w:ascii="TTE1D24708t00" w:hAnsi="TTE1D24708t00" w:cs="TTE1D24708t00"/>
                            <w:sz w:val="12"/>
                            <w:szCs w:val="12"/>
                          </w:rPr>
                        </w:pPr>
                        <w:r>
                          <w:rPr>
                            <w:rFonts w:ascii="TTE1D24708t00" w:hAnsi="TTE1D24708t00" w:cs="TTE1D24708t00"/>
                            <w:sz w:val="12"/>
                            <w:szCs w:val="12"/>
                          </w:rPr>
                          <w:t xml:space="preserve">Monto total de ingresos </w:t>
                        </w:r>
                      </w:p>
                    </w:tc>
                    <w:tc>
                      <w:tcPr>
                        <w:tcW w:w="880" w:type="dxa"/>
                        <w:tcBorders>
                          <w:top w:val="single" w:sz="6" w:space="0" w:color="000000"/>
                          <w:left w:val="single" w:sz="8" w:space="0" w:color="000000"/>
                          <w:bottom w:val="single" w:sz="6" w:space="0" w:color="000000"/>
                          <w:right w:val="single" w:sz="6" w:space="0" w:color="000000"/>
                        </w:tcBorders>
                      </w:tcPr>
                      <w:p w:rsidR="00000000" w:rsidRDefault="001245BD">
                        <w:pPr>
                          <w:pStyle w:val="Default"/>
                          <w:rPr>
                            <w:rFonts w:cstheme="minorBidi"/>
                            <w:color w:val="auto"/>
                          </w:rPr>
                        </w:pPr>
                      </w:p>
                    </w:tc>
                  </w:tr>
                  <w:tr w:rsidR="00000000">
                    <w:tblPrEx>
                      <w:tblCellMar>
                        <w:top w:w="0" w:type="dxa"/>
                        <w:bottom w:w="0" w:type="dxa"/>
                      </w:tblCellMar>
                    </w:tblPrEx>
                    <w:trPr>
                      <w:gridAfter w:val="10"/>
                      <w:wAfter w:w="3461" w:type="dxa"/>
                      <w:trHeight w:val="195"/>
                    </w:trPr>
                    <w:tc>
                      <w:tcPr>
                        <w:tcW w:w="2192"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1245BD">
                        <w:pPr>
                          <w:pStyle w:val="Default"/>
                          <w:jc w:val="center"/>
                          <w:rPr>
                            <w:rFonts w:ascii="TTE1D24708t00" w:hAnsi="TTE1D24708t00" w:cs="TTE1D24708t00"/>
                            <w:sz w:val="12"/>
                            <w:szCs w:val="12"/>
                          </w:rPr>
                        </w:pPr>
                        <w:r>
                          <w:rPr>
                            <w:rFonts w:ascii="TTE1D24708t00" w:hAnsi="TTE1D24708t00" w:cs="TTE1D24708t00"/>
                            <w:sz w:val="12"/>
                            <w:szCs w:val="12"/>
                          </w:rPr>
                          <w:t xml:space="preserve">Monto de ingresos I, DT, T y DT </w:t>
                        </w:r>
                      </w:p>
                    </w:tc>
                    <w:tc>
                      <w:tcPr>
                        <w:tcW w:w="880" w:type="dxa"/>
                        <w:tcBorders>
                          <w:top w:val="single" w:sz="6" w:space="0" w:color="000000"/>
                          <w:left w:val="single" w:sz="8" w:space="0" w:color="000000"/>
                          <w:bottom w:val="single" w:sz="6" w:space="0" w:color="000000"/>
                          <w:right w:val="single" w:sz="6" w:space="0" w:color="000000"/>
                        </w:tcBorders>
                      </w:tcPr>
                      <w:p w:rsidR="00000000" w:rsidRDefault="001245BD">
                        <w:pPr>
                          <w:pStyle w:val="Default"/>
                          <w:rPr>
                            <w:rFonts w:cstheme="minorBidi"/>
                            <w:color w:val="auto"/>
                          </w:rPr>
                        </w:pPr>
                      </w:p>
                    </w:tc>
                  </w:tr>
                  <w:tr w:rsidR="00000000">
                    <w:tblPrEx>
                      <w:tblCellMar>
                        <w:top w:w="0" w:type="dxa"/>
                        <w:bottom w:w="0" w:type="dxa"/>
                      </w:tblCellMar>
                    </w:tblPrEx>
                    <w:trPr>
                      <w:gridAfter w:val="10"/>
                      <w:wAfter w:w="3461" w:type="dxa"/>
                      <w:trHeight w:val="195"/>
                    </w:trPr>
                    <w:tc>
                      <w:tcPr>
                        <w:tcW w:w="2192"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1245BD">
                        <w:pPr>
                          <w:pStyle w:val="Default"/>
                          <w:jc w:val="center"/>
                          <w:rPr>
                            <w:rFonts w:ascii="TTE1CDD628t00" w:hAnsi="TTE1CDD628t00" w:cs="TTE1CDD628t00"/>
                            <w:sz w:val="12"/>
                            <w:szCs w:val="12"/>
                          </w:rPr>
                        </w:pPr>
                        <w:r>
                          <w:rPr>
                            <w:rFonts w:ascii="TTE1CDD628t00" w:hAnsi="TTE1CDD628t00" w:cs="TTE1CDD628t00"/>
                            <w:sz w:val="12"/>
                            <w:szCs w:val="12"/>
                          </w:rPr>
                          <w:t xml:space="preserve">% Ingresos de I, </w:t>
                        </w:r>
                        <w:r>
                          <w:rPr>
                            <w:rFonts w:ascii="TTE1CDD628t00" w:hAnsi="TTE1CDD628t00" w:cs="TTE1CDD628t00"/>
                            <w:sz w:val="12"/>
                            <w:szCs w:val="12"/>
                          </w:rPr>
                          <w:t xml:space="preserve">DT, T y DT </w:t>
                        </w:r>
                      </w:p>
                    </w:tc>
                    <w:tc>
                      <w:tcPr>
                        <w:tcW w:w="880" w:type="dxa"/>
                        <w:tcBorders>
                          <w:top w:val="single" w:sz="6" w:space="0" w:color="000000"/>
                          <w:left w:val="single" w:sz="8" w:space="0" w:color="000000"/>
                          <w:bottom w:val="single" w:sz="6" w:space="0" w:color="000000"/>
                          <w:right w:val="single" w:sz="6" w:space="0" w:color="000000"/>
                        </w:tcBorders>
                      </w:tcPr>
                      <w:p w:rsidR="00000000" w:rsidRDefault="001245BD">
                        <w:pPr>
                          <w:pStyle w:val="Default"/>
                          <w:rPr>
                            <w:rFonts w:cstheme="minorBidi"/>
                            <w:color w:val="auto"/>
                          </w:rPr>
                        </w:pPr>
                      </w:p>
                    </w:tc>
                  </w:tr>
                </w:tbl>
              </w:txbxContent>
            </v:textbox>
            <w10:wrap type="through" anchorx="page" anchory="page"/>
          </v:shape>
        </w:pict>
      </w:r>
    </w:p>
    <w:p w:rsidR="00000000" w:rsidRDefault="007433DA">
      <w:pPr>
        <w:pStyle w:val="Default"/>
        <w:framePr w:w="2579" w:wrap="auto" w:vAnchor="page" w:hAnchor="page" w:x="8834" w:y="5079"/>
        <w:spacing w:after="220"/>
        <w:rPr>
          <w:rFonts w:cstheme="minorBidi"/>
          <w:color w:val="auto"/>
        </w:rPr>
      </w:pPr>
      <w:r>
        <w:rPr>
          <w:rFonts w:cstheme="minorBidi"/>
          <w:noProof/>
          <w:color w:val="auto"/>
        </w:rPr>
        <w:drawing>
          <wp:inline distT="0" distB="0" distL="0" distR="0">
            <wp:extent cx="1133475" cy="228600"/>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srcRect/>
                    <a:stretch>
                      <a:fillRect/>
                    </a:stretch>
                  </pic:blipFill>
                  <pic:spPr bwMode="auto">
                    <a:xfrm>
                      <a:off x="0" y="0"/>
                      <a:ext cx="1133475" cy="228600"/>
                    </a:xfrm>
                    <a:prstGeom prst="rect">
                      <a:avLst/>
                    </a:prstGeom>
                    <a:noFill/>
                    <a:ln w="9525">
                      <a:noFill/>
                      <a:miter lim="800000"/>
                      <a:headEnd/>
                      <a:tailEnd/>
                    </a:ln>
                  </pic:spPr>
                </pic:pic>
              </a:graphicData>
            </a:graphic>
          </wp:inline>
        </w:drawing>
      </w:r>
    </w:p>
    <w:p w:rsidR="00000000" w:rsidRDefault="007433DA">
      <w:pPr>
        <w:pStyle w:val="CM35"/>
        <w:spacing w:after="170" w:line="186" w:lineRule="atLeast"/>
        <w:rPr>
          <w:rFonts w:ascii="TTE1D24708t00" w:hAnsi="TTE1D24708t00" w:cs="TTE1D24708t00"/>
          <w:sz w:val="12"/>
          <w:szCs w:val="12"/>
        </w:rPr>
      </w:pPr>
      <w:r>
        <w:rPr>
          <w:noProof/>
        </w:rPr>
        <w:drawing>
          <wp:inline distT="0" distB="0" distL="0" distR="0">
            <wp:extent cx="904875" cy="104775"/>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srcRect/>
                    <a:stretch>
                      <a:fillRect/>
                    </a:stretch>
                  </pic:blipFill>
                  <pic:spPr bwMode="auto">
                    <a:xfrm>
                      <a:off x="0" y="0"/>
                      <a:ext cx="904875" cy="104775"/>
                    </a:xfrm>
                    <a:prstGeom prst="rect">
                      <a:avLst/>
                    </a:prstGeom>
                    <a:noFill/>
                    <a:ln w="9525">
                      <a:noFill/>
                      <a:miter lim="800000"/>
                      <a:headEnd/>
                      <a:tailEnd/>
                    </a:ln>
                  </pic:spPr>
                </pic:pic>
              </a:graphicData>
            </a:graphic>
          </wp:inline>
        </w:drawing>
      </w:r>
      <w:r w:rsidR="001245BD">
        <w:rPr>
          <w:rFonts w:ascii="TTE1D24708t00" w:hAnsi="TTE1D24708t00" w:cs="TTE1D24708t00"/>
          <w:sz w:val="12"/>
          <w:szCs w:val="12"/>
        </w:rPr>
        <w:t xml:space="preserve">proyectos, </w:t>
      </w:r>
    </w:p>
    <w:p w:rsidR="00000000" w:rsidRDefault="001245BD">
      <w:pPr>
        <w:pStyle w:val="CM42"/>
        <w:spacing w:after="250" w:line="186" w:lineRule="atLeast"/>
        <w:rPr>
          <w:rFonts w:ascii="TTE1D24708t00" w:hAnsi="TTE1D24708t00" w:cs="TTE1D24708t00"/>
          <w:sz w:val="12"/>
          <w:szCs w:val="12"/>
        </w:rPr>
      </w:pPr>
    </w:p>
    <w:p w:rsidR="00000000" w:rsidRDefault="007433DA">
      <w:pPr>
        <w:pStyle w:val="Default"/>
        <w:framePr w:w="3036" w:wrap="auto" w:vAnchor="page" w:hAnchor="page" w:x="4047" w:y="5662"/>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419225" cy="104775"/>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1419225" cy="104775"/>
                    </a:xfrm>
                    <a:prstGeom prst="rect">
                      <a:avLst/>
                    </a:prstGeom>
                    <a:noFill/>
                    <a:ln w="9525">
                      <a:noFill/>
                      <a:miter lim="800000"/>
                      <a:headEnd/>
                      <a:tailEnd/>
                    </a:ln>
                  </pic:spPr>
                </pic:pic>
              </a:graphicData>
            </a:graphic>
          </wp:inline>
        </w:drawing>
      </w:r>
      <w:r w:rsidR="001245BD">
        <w:rPr>
          <w:rFonts w:ascii="TTE1D24708t00" w:hAnsi="TTE1D24708t00" w:cs="TTE1D24708t00"/>
          <w:color w:val="auto"/>
          <w:sz w:val="12"/>
          <w:szCs w:val="12"/>
        </w:rPr>
        <w:t>investigaci</w:t>
      </w:r>
      <w:r w:rsidR="001245BD">
        <w:rPr>
          <w:rFonts w:ascii="TTE1D24708t00" w:hAnsi="TTE1D24708t00" w:cs="TTE1D24708t00"/>
          <w:color w:val="auto"/>
          <w:sz w:val="12"/>
          <w:szCs w:val="12"/>
        </w:rPr>
        <w:t xml:space="preserve">ón, tecnológico, transferencia </w:t>
      </w:r>
    </w:p>
    <w:p w:rsidR="00000000" w:rsidRDefault="001245BD">
      <w:pPr>
        <w:pStyle w:val="CM35"/>
        <w:spacing w:after="170" w:line="180" w:lineRule="atLeast"/>
        <w:ind w:left="2487"/>
        <w:rPr>
          <w:rFonts w:ascii="TTE1D24708t00" w:hAnsi="TTE1D24708t00" w:cs="TTE1D24708t00"/>
          <w:sz w:val="12"/>
          <w:szCs w:val="12"/>
        </w:rPr>
      </w:pPr>
      <w:r>
        <w:rPr>
          <w:rFonts w:ascii="TTE1D24708t00" w:hAnsi="TTE1D24708t00" w:cs="TTE1D24708t00"/>
          <w:sz w:val="12"/>
          <w:szCs w:val="12"/>
        </w:rPr>
        <w:t xml:space="preserve">tecnológica </w:t>
      </w:r>
    </w:p>
    <w:p w:rsidR="00000000" w:rsidRDefault="001245BD">
      <w:pPr>
        <w:pStyle w:val="CM42"/>
        <w:spacing w:after="250" w:line="180" w:lineRule="atLeast"/>
        <w:ind w:left="312"/>
        <w:rPr>
          <w:rFonts w:ascii="TTE1D24708t00" w:hAnsi="TTE1D24708t00" w:cs="TTE1D24708t00"/>
          <w:sz w:val="12"/>
          <w:szCs w:val="12"/>
        </w:rPr>
      </w:pPr>
      <w:r>
        <w:rPr>
          <w:rFonts w:ascii="TTE1D24708t00" w:hAnsi="TTE1D24708t00" w:cs="TTE1D24708t00"/>
          <w:sz w:val="12"/>
          <w:szCs w:val="12"/>
        </w:rPr>
        <w:t xml:space="preserve">devengados presentación </w:t>
      </w:r>
    </w:p>
    <w:p w:rsidR="00000000" w:rsidRDefault="007433DA">
      <w:pPr>
        <w:pStyle w:val="Default"/>
        <w:framePr w:w="1491" w:wrap="auto" w:vAnchor="page" w:hAnchor="page" w:x="5739" w:y="5842"/>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428625" cy="104775"/>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srcRect/>
                    <a:stretch>
                      <a:fillRect/>
                    </a:stretch>
                  </pic:blipFill>
                  <pic:spPr bwMode="auto">
                    <a:xfrm>
                      <a:off x="0" y="0"/>
                      <a:ext cx="428625" cy="104775"/>
                    </a:xfrm>
                    <a:prstGeom prst="rect">
                      <a:avLst/>
                    </a:prstGeom>
                    <a:noFill/>
                    <a:ln w="9525">
                      <a:noFill/>
                      <a:miter lim="800000"/>
                      <a:headEnd/>
                      <a:tailEnd/>
                    </a:ln>
                  </pic:spPr>
                </pic:pic>
              </a:graphicData>
            </a:graphic>
          </wp:inline>
        </w:drawing>
      </w:r>
    </w:p>
    <w:p w:rsidR="00000000" w:rsidRDefault="007433DA">
      <w:pPr>
        <w:pStyle w:val="CM35"/>
        <w:spacing w:after="170" w:line="180" w:lineRule="atLeast"/>
        <w:ind w:left="2935" w:right="207"/>
        <w:rPr>
          <w:rFonts w:ascii="TTE1D24708t00" w:hAnsi="TTE1D24708t00" w:cs="TTE1D24708t00"/>
          <w:sz w:val="12"/>
          <w:szCs w:val="12"/>
        </w:rPr>
      </w:pPr>
      <w:r>
        <w:rPr>
          <w:rFonts w:ascii="TTE1D24708t00" w:hAnsi="TTE1D24708t00" w:cs="TTE1D24708t00"/>
          <w:noProof/>
          <w:sz w:val="12"/>
          <w:szCs w:val="12"/>
        </w:rPr>
        <w:drawing>
          <wp:inline distT="0" distB="0" distL="0" distR="0">
            <wp:extent cx="2047875" cy="104775"/>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srcRect/>
                    <a:stretch>
                      <a:fillRect/>
                    </a:stretch>
                  </pic:blipFill>
                  <pic:spPr bwMode="auto">
                    <a:xfrm>
                      <a:off x="0" y="0"/>
                      <a:ext cx="2047875" cy="104775"/>
                    </a:xfrm>
                    <a:prstGeom prst="rect">
                      <a:avLst/>
                    </a:prstGeom>
                    <a:noFill/>
                    <a:ln w="9525">
                      <a:noFill/>
                      <a:miter lim="800000"/>
                      <a:headEnd/>
                      <a:tailEnd/>
                    </a:ln>
                  </pic:spPr>
                </pic:pic>
              </a:graphicData>
            </a:graphic>
          </wp:inline>
        </w:drawing>
      </w:r>
      <w:r w:rsidR="001245BD">
        <w:rPr>
          <w:rFonts w:ascii="TTE1D24708t00" w:hAnsi="TTE1D24708t00" w:cs="TTE1D24708t00"/>
          <w:sz w:val="12"/>
          <w:szCs w:val="12"/>
        </w:rPr>
        <w:t xml:space="preserve">antecedentes encuentran terminado, </w:t>
      </w:r>
    </w:p>
    <w:p w:rsidR="00000000" w:rsidRDefault="007433DA">
      <w:pPr>
        <w:pStyle w:val="Default"/>
        <w:framePr w:w="1195" w:wrap="auto" w:vAnchor="page" w:hAnchor="page" w:x="5931" w:y="6022"/>
        <w:spacing w:after="20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238125" cy="104775"/>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238125" cy="104775"/>
                    </a:xfrm>
                    <a:prstGeom prst="rect">
                      <a:avLst/>
                    </a:prstGeom>
                    <a:noFill/>
                    <a:ln w="9525">
                      <a:noFill/>
                      <a:miter lim="800000"/>
                      <a:headEnd/>
                      <a:tailEnd/>
                    </a:ln>
                  </pic:spPr>
                </pic:pic>
              </a:graphicData>
            </a:graphic>
          </wp:inline>
        </w:drawing>
      </w:r>
    </w:p>
    <w:p w:rsidR="00000000" w:rsidRDefault="007433DA">
      <w:pPr>
        <w:pStyle w:val="Default"/>
        <w:framePr w:w="2019" w:wrap="auto" w:vAnchor="page" w:hAnchor="page" w:x="1752" w:y="638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771525" cy="104775"/>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srcRect/>
                    <a:stretch>
                      <a:fillRect/>
                    </a:stretch>
                  </pic:blipFill>
                  <pic:spPr bwMode="auto">
                    <a:xfrm>
                      <a:off x="0" y="0"/>
                      <a:ext cx="771525" cy="104775"/>
                    </a:xfrm>
                    <a:prstGeom prst="rect">
                      <a:avLst/>
                    </a:prstGeom>
                    <a:noFill/>
                    <a:ln w="9525">
                      <a:noFill/>
                      <a:miter lim="800000"/>
                      <a:headEnd/>
                      <a:tailEnd/>
                    </a:ln>
                  </pic:spPr>
                </pic:pic>
              </a:graphicData>
            </a:graphic>
          </wp:inline>
        </w:drawing>
      </w:r>
    </w:p>
    <w:p w:rsidR="00000000" w:rsidRDefault="007433DA">
      <w:pPr>
        <w:pStyle w:val="Default"/>
        <w:framePr w:w="2038" w:wrap="auto" w:vAnchor="page" w:hAnchor="page" w:x="3831" w:y="638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771525" cy="104775"/>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srcRect/>
                    <a:stretch>
                      <a:fillRect/>
                    </a:stretch>
                  </pic:blipFill>
                  <pic:spPr bwMode="auto">
                    <a:xfrm>
                      <a:off x="0" y="0"/>
                      <a:ext cx="771525" cy="104775"/>
                    </a:xfrm>
                    <a:prstGeom prst="rect">
                      <a:avLst/>
                    </a:prstGeom>
                    <a:noFill/>
                    <a:ln w="9525">
                      <a:noFill/>
                      <a:miter lim="800000"/>
                      <a:headEnd/>
                      <a:tailEnd/>
                    </a:ln>
                  </pic:spPr>
                </pic:pic>
              </a:graphicData>
            </a:graphic>
          </wp:inline>
        </w:drawing>
      </w:r>
    </w:p>
    <w:p w:rsidR="00000000" w:rsidRDefault="007433DA">
      <w:pPr>
        <w:pStyle w:val="Default"/>
        <w:framePr w:w="965" w:wrap="auto" w:vAnchor="page" w:hAnchor="page" w:x="7100" w:y="620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04775" cy="219075"/>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srcRect/>
                    <a:stretch>
                      <a:fillRect/>
                    </a:stretch>
                  </pic:blipFill>
                  <pic:spPr bwMode="auto">
                    <a:xfrm>
                      <a:off x="0" y="0"/>
                      <a:ext cx="104775" cy="219075"/>
                    </a:xfrm>
                    <a:prstGeom prst="rect">
                      <a:avLst/>
                    </a:prstGeom>
                    <a:noFill/>
                    <a:ln w="9525">
                      <a:noFill/>
                      <a:miter lim="800000"/>
                      <a:headEnd/>
                      <a:tailEnd/>
                    </a:ln>
                  </pic:spPr>
                </pic:pic>
              </a:graphicData>
            </a:graphic>
          </wp:inline>
        </w:drawing>
      </w:r>
    </w:p>
    <w:p w:rsidR="00000000" w:rsidRDefault="007433DA">
      <w:pPr>
        <w:pStyle w:val="Default"/>
        <w:framePr w:w="5290" w:wrap="auto" w:vAnchor="page" w:hAnchor="page" w:x="1752" w:y="620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2847975" cy="104775"/>
            <wp:effectExtent l="1905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srcRect/>
                    <a:stretch>
                      <a:fillRect/>
                    </a:stretch>
                  </pic:blipFill>
                  <pic:spPr bwMode="auto">
                    <a:xfrm>
                      <a:off x="0" y="0"/>
                      <a:ext cx="2847975" cy="104775"/>
                    </a:xfrm>
                    <a:prstGeom prst="rect">
                      <a:avLst/>
                    </a:prstGeom>
                    <a:noFill/>
                    <a:ln w="9525">
                      <a:noFill/>
                      <a:miter lim="800000"/>
                      <a:headEnd/>
                      <a:tailEnd/>
                    </a:ln>
                  </pic:spPr>
                </pic:pic>
              </a:graphicData>
            </a:graphic>
          </wp:inline>
        </w:drawing>
      </w:r>
    </w:p>
    <w:p w:rsidR="00000000" w:rsidRDefault="001245BD">
      <w:pPr>
        <w:pStyle w:val="CM42"/>
        <w:spacing w:after="250" w:line="180" w:lineRule="atLeast"/>
        <w:ind w:left="1430" w:right="1085" w:firstLine="520"/>
        <w:rPr>
          <w:rFonts w:ascii="TTE1D24708t00" w:hAnsi="TTE1D24708t00" w:cs="TTE1D24708t00"/>
          <w:sz w:val="12"/>
          <w:szCs w:val="12"/>
        </w:rPr>
      </w:pPr>
      <w:r>
        <w:rPr>
          <w:rFonts w:ascii="TTE1D24708t00" w:hAnsi="TTE1D24708t00" w:cs="TTE1D24708t00"/>
          <w:sz w:val="12"/>
          <w:szCs w:val="12"/>
        </w:rPr>
        <w:t>presenta</w:t>
      </w:r>
      <w:r>
        <w:rPr>
          <w:rFonts w:ascii="TTE1D24708t00" w:hAnsi="TTE1D24708t00" w:cs="TTE1D24708t00"/>
          <w:sz w:val="12"/>
          <w:szCs w:val="12"/>
        </w:rPr>
        <w:t xml:space="preserve">ción de antecedentes antecedentes (calendario). </w:t>
      </w:r>
    </w:p>
    <w:p w:rsidR="00000000" w:rsidRDefault="007433DA">
      <w:pPr>
        <w:pStyle w:val="Default"/>
        <w:framePr w:w="3557" w:wrap="auto" w:vAnchor="page" w:hAnchor="page" w:x="1752" w:y="656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743075" cy="104775"/>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srcRect/>
                    <a:stretch>
                      <a:fillRect/>
                    </a:stretch>
                  </pic:blipFill>
                  <pic:spPr bwMode="auto">
                    <a:xfrm>
                      <a:off x="0" y="0"/>
                      <a:ext cx="1743075" cy="104775"/>
                    </a:xfrm>
                    <a:prstGeom prst="rect">
                      <a:avLst/>
                    </a:prstGeom>
                    <a:noFill/>
                    <a:ln w="9525">
                      <a:noFill/>
                      <a:miter lim="800000"/>
                      <a:headEnd/>
                      <a:tailEnd/>
                    </a:ln>
                  </pic:spPr>
                </pic:pic>
              </a:graphicData>
            </a:graphic>
          </wp:inline>
        </w:drawing>
      </w:r>
    </w:p>
    <w:p w:rsidR="00000000" w:rsidRDefault="007433DA">
      <w:pPr>
        <w:pStyle w:val="Default"/>
        <w:framePr w:w="2487" w:wrap="auto" w:vAnchor="page" w:hAnchor="page" w:x="5535" w:y="656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066800" cy="10477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srcRect/>
                    <a:stretch>
                      <a:fillRect/>
                    </a:stretch>
                  </pic:blipFill>
                  <pic:spPr bwMode="auto">
                    <a:xfrm>
                      <a:off x="0" y="0"/>
                      <a:ext cx="1066800" cy="104775"/>
                    </a:xfrm>
                    <a:prstGeom prst="rect">
                      <a:avLst/>
                    </a:prstGeom>
                    <a:noFill/>
                    <a:ln w="9525">
                      <a:noFill/>
                      <a:miter lim="800000"/>
                      <a:headEnd/>
                      <a:tailEnd/>
                    </a:ln>
                  </pic:spPr>
                </pic:pic>
              </a:graphicData>
            </a:graphic>
          </wp:inline>
        </w:drawing>
      </w:r>
    </w:p>
    <w:p w:rsidR="00000000" w:rsidRDefault="007433DA">
      <w:pPr>
        <w:pStyle w:val="CM35"/>
        <w:spacing w:after="170" w:line="180" w:lineRule="atLeast"/>
        <w:ind w:left="915"/>
        <w:rPr>
          <w:rFonts w:ascii="TTE1D24708t00" w:hAnsi="TTE1D24708t00" w:cs="TTE1D24708t00"/>
          <w:sz w:val="12"/>
          <w:szCs w:val="12"/>
        </w:rPr>
      </w:pPr>
      <w:r>
        <w:rPr>
          <w:rFonts w:ascii="TTE1D24708t00" w:hAnsi="TTE1D24708t00" w:cs="TTE1D24708t00"/>
          <w:noProof/>
          <w:sz w:val="12"/>
          <w:szCs w:val="12"/>
        </w:rPr>
        <w:drawing>
          <wp:inline distT="0" distB="0" distL="0" distR="0">
            <wp:extent cx="619125" cy="104775"/>
            <wp:effectExtent l="1905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srcRect/>
                    <a:stretch>
                      <a:fillRect/>
                    </a:stretch>
                  </pic:blipFill>
                  <pic:spPr bwMode="auto">
                    <a:xfrm>
                      <a:off x="0" y="0"/>
                      <a:ext cx="619125" cy="104775"/>
                    </a:xfrm>
                    <a:prstGeom prst="rect">
                      <a:avLst/>
                    </a:prstGeom>
                    <a:noFill/>
                    <a:ln w="9525">
                      <a:noFill/>
                      <a:miter lim="800000"/>
                      <a:headEnd/>
                      <a:tailEnd/>
                    </a:ln>
                  </pic:spPr>
                </pic:pic>
              </a:graphicData>
            </a:graphic>
          </wp:inline>
        </w:drawing>
      </w:r>
      <w:r w:rsidR="001245BD">
        <w:rPr>
          <w:rFonts w:ascii="TTE1D24708t00" w:hAnsi="TTE1D24708t00" w:cs="TTE1D24708t00"/>
          <w:sz w:val="12"/>
          <w:szCs w:val="12"/>
        </w:rPr>
        <w:t xml:space="preserve">presentación </w:t>
      </w:r>
    </w:p>
    <w:p w:rsidR="00000000" w:rsidRDefault="001245BD">
      <w:pPr>
        <w:pStyle w:val="CM42"/>
        <w:spacing w:after="250" w:line="178" w:lineRule="atLeast"/>
        <w:ind w:right="1025"/>
        <w:rPr>
          <w:rFonts w:ascii="TTE1D24708t00" w:hAnsi="TTE1D24708t00" w:cs="TTE1D24708t00"/>
          <w:sz w:val="12"/>
          <w:szCs w:val="12"/>
        </w:rPr>
      </w:pPr>
      <w:r>
        <w:rPr>
          <w:rFonts w:ascii="TTE1D24708t00" w:hAnsi="TTE1D24708t00" w:cs="TTE1D24708t00"/>
          <w:sz w:val="12"/>
          <w:szCs w:val="12"/>
        </w:rPr>
        <w:t xml:space="preserve">antecedentes Julio, deberán agregar los antecedentes del primer semestre del año en curso. </w:t>
      </w:r>
    </w:p>
    <w:p w:rsidR="00000000" w:rsidRDefault="007433DA">
      <w:pPr>
        <w:pStyle w:val="Default"/>
        <w:framePr w:w="2242" w:wrap="auto" w:vAnchor="page" w:hAnchor="page" w:x="5823" w:y="6740"/>
        <w:spacing w:after="70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914400" cy="104775"/>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srcRect/>
                    <a:stretch>
                      <a:fillRect/>
                    </a:stretch>
                  </pic:blipFill>
                  <pic:spPr bwMode="auto">
                    <a:xfrm>
                      <a:off x="0" y="0"/>
                      <a:ext cx="914400" cy="104775"/>
                    </a:xfrm>
                    <a:prstGeom prst="rect">
                      <a:avLst/>
                    </a:prstGeom>
                    <a:noFill/>
                    <a:ln w="9525">
                      <a:noFill/>
                      <a:miter lim="800000"/>
                      <a:headEnd/>
                      <a:tailEnd/>
                    </a:ln>
                  </pic:spPr>
                </pic:pic>
              </a:graphicData>
            </a:graphic>
          </wp:inline>
        </w:drawing>
      </w:r>
    </w:p>
    <w:p w:rsidR="00000000" w:rsidRDefault="007433DA">
      <w:pPr>
        <w:pStyle w:val="Default"/>
        <w:framePr w:w="7745" w:wrap="auto" w:vAnchor="page" w:hAnchor="page" w:x="1198" w:y="7589"/>
        <w:spacing w:after="36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4410075" cy="123825"/>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srcRect/>
                    <a:stretch>
                      <a:fillRect/>
                    </a:stretch>
                  </pic:blipFill>
                  <pic:spPr bwMode="auto">
                    <a:xfrm>
                      <a:off x="0" y="0"/>
                      <a:ext cx="4410075" cy="123825"/>
                    </a:xfrm>
                    <a:prstGeom prst="rect">
                      <a:avLst/>
                    </a:prstGeom>
                    <a:noFill/>
                    <a:ln w="9525">
                      <a:noFill/>
                      <a:miter lim="800000"/>
                      <a:headEnd/>
                      <a:tailEnd/>
                    </a:ln>
                  </pic:spPr>
                </pic:pic>
              </a:graphicData>
            </a:graphic>
          </wp:inline>
        </w:drawing>
      </w:r>
    </w:p>
    <w:p w:rsidR="00000000" w:rsidRDefault="007433DA">
      <w:pPr>
        <w:pStyle w:val="Default"/>
        <w:framePr w:w="2732" w:wrap="auto" w:vAnchor="page" w:hAnchor="page" w:x="1728" w:y="8144"/>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228725" cy="114300"/>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srcRect/>
                    <a:stretch>
                      <a:fillRect/>
                    </a:stretch>
                  </pic:blipFill>
                  <pic:spPr bwMode="auto">
                    <a:xfrm>
                      <a:off x="0" y="0"/>
                      <a:ext cx="1228725" cy="114300"/>
                    </a:xfrm>
                    <a:prstGeom prst="rect">
                      <a:avLst/>
                    </a:prstGeom>
                    <a:noFill/>
                    <a:ln w="9525">
                      <a:noFill/>
                      <a:miter lim="800000"/>
                      <a:headEnd/>
                      <a:tailEnd/>
                    </a:ln>
                  </pic:spPr>
                </pic:pic>
              </a:graphicData>
            </a:graphic>
          </wp:inline>
        </w:drawing>
      </w:r>
    </w:p>
    <w:p w:rsidR="00000000" w:rsidRDefault="007433DA">
      <w:pPr>
        <w:pStyle w:val="Default"/>
        <w:framePr w:w="951" w:wrap="auto" w:vAnchor="page" w:hAnchor="page" w:x="1486" w:y="8170"/>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04775" cy="371475"/>
            <wp:effectExtent l="1905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srcRect/>
                    <a:stretch>
                      <a:fillRect/>
                    </a:stretch>
                  </pic:blipFill>
                  <pic:spPr bwMode="auto">
                    <a:xfrm>
                      <a:off x="0" y="0"/>
                      <a:ext cx="104775" cy="371475"/>
                    </a:xfrm>
                    <a:prstGeom prst="rect">
                      <a:avLst/>
                    </a:prstGeom>
                    <a:noFill/>
                    <a:ln w="9525">
                      <a:noFill/>
                      <a:miter lim="800000"/>
                      <a:headEnd/>
                      <a:tailEnd/>
                    </a:ln>
                  </pic:spPr>
                </pic:pic>
              </a:graphicData>
            </a:graphic>
          </wp:inline>
        </w:drawing>
      </w:r>
    </w:p>
    <w:p w:rsidR="00000000" w:rsidRDefault="001245BD">
      <w:pPr>
        <w:pStyle w:val="CM44"/>
        <w:spacing w:after="477" w:line="186" w:lineRule="atLeast"/>
        <w:rPr>
          <w:rFonts w:ascii="TTE1D24708t00" w:hAnsi="TTE1D24708t00" w:cs="TTE1D24708t00"/>
          <w:sz w:val="12"/>
          <w:szCs w:val="12"/>
        </w:rPr>
      </w:pPr>
      <w:r>
        <w:rPr>
          <w:rFonts w:ascii="TTE1D24708t00" w:hAnsi="TTE1D24708t00" w:cs="TTE1D24708t00"/>
          <w:sz w:val="12"/>
          <w:szCs w:val="12"/>
        </w:rPr>
        <w:t>Copi</w:t>
      </w:r>
      <w:r>
        <w:rPr>
          <w:rFonts w:ascii="TTE1D24708t00" w:hAnsi="TTE1D24708t00" w:cs="TTE1D24708t00"/>
          <w:sz w:val="12"/>
          <w:szCs w:val="12"/>
        </w:rPr>
        <w:t xml:space="preserve">a de contrato de los proyectos relacionados a investigación, desarrollo tecnológico, transferencia y difusión tecnológica que fueron considerados en el punto I. </w:t>
      </w:r>
    </w:p>
    <w:p w:rsidR="00000000" w:rsidRDefault="001245BD">
      <w:pPr>
        <w:pStyle w:val="CM36"/>
        <w:spacing w:after="177"/>
        <w:rPr>
          <w:rFonts w:ascii="TTE1CDD628t00" w:hAnsi="TTE1CDD628t00" w:cs="TTE1CDD628t00"/>
          <w:sz w:val="14"/>
          <w:szCs w:val="14"/>
        </w:rPr>
      </w:pPr>
      <w:r>
        <w:rPr>
          <w:rFonts w:ascii="TTE1CDD628t00" w:hAnsi="TTE1CDD628t00" w:cs="TTE1CDD628t00"/>
          <w:sz w:val="14"/>
          <w:szCs w:val="14"/>
        </w:rPr>
        <w:t xml:space="preserve">b) Recursos Humanos </w:t>
      </w:r>
    </w:p>
    <w:p w:rsidR="00000000" w:rsidRDefault="001245BD">
      <w:pPr>
        <w:pStyle w:val="CM25"/>
        <w:rPr>
          <w:rFonts w:ascii="TTE1D24708t00" w:hAnsi="TTE1D24708t00" w:cs="TTE1D24708t00"/>
          <w:sz w:val="12"/>
          <w:szCs w:val="12"/>
        </w:rPr>
      </w:pPr>
      <w:r>
        <w:rPr>
          <w:rFonts w:ascii="TTE1D24708t00" w:hAnsi="TTE1D24708t00" w:cs="TTE1D24708t00"/>
          <w:sz w:val="12"/>
          <w:szCs w:val="12"/>
        </w:rPr>
        <w:t>Nómina de todas las personas que trabajan en el Centro. Jornada de trabaj</w:t>
      </w:r>
      <w:r>
        <w:rPr>
          <w:rFonts w:ascii="TTE1D24708t00" w:hAnsi="TTE1D24708t00" w:cs="TTE1D24708t00"/>
          <w:sz w:val="12"/>
          <w:szCs w:val="12"/>
        </w:rPr>
        <w:t xml:space="preserve">o de todas las personas que se desempeñan en el Centro Currículum de todas las personas que trabajan en el Centro a objeto de verificar las </w:t>
      </w:r>
    </w:p>
    <w:p w:rsidR="00000000" w:rsidRDefault="001245BD">
      <w:pPr>
        <w:pStyle w:val="CM25"/>
        <w:rPr>
          <w:rFonts w:ascii="TTE1D24708t00" w:hAnsi="TTE1D24708t00" w:cs="TTE1D24708t00"/>
          <w:sz w:val="12"/>
          <w:szCs w:val="12"/>
        </w:rPr>
      </w:pPr>
      <w:r>
        <w:rPr>
          <w:rFonts w:ascii="TTE1D24708t00" w:hAnsi="TTE1D24708t00" w:cs="TTE1D24708t00"/>
          <w:sz w:val="12"/>
          <w:szCs w:val="12"/>
        </w:rPr>
        <w:t xml:space="preserve">actividades que han estado desempeñando. </w:t>
      </w:r>
    </w:p>
    <w:p w:rsidR="00000000" w:rsidRDefault="001245BD">
      <w:pPr>
        <w:pStyle w:val="CM25"/>
        <w:rPr>
          <w:rFonts w:ascii="TTE1D24708t00" w:hAnsi="TTE1D24708t00" w:cs="TTE1D24708t00"/>
          <w:sz w:val="12"/>
          <w:szCs w:val="12"/>
        </w:rPr>
      </w:pPr>
      <w:r>
        <w:rPr>
          <w:rFonts w:ascii="TTE1D24708t00" w:hAnsi="TTE1D24708t00" w:cs="TTE1D24708t00"/>
          <w:sz w:val="12"/>
          <w:szCs w:val="12"/>
        </w:rPr>
        <w:t>Copia legalizada de certificados de título o de grado de todas las person</w:t>
      </w:r>
      <w:r>
        <w:rPr>
          <w:rFonts w:ascii="TTE1D24708t00" w:hAnsi="TTE1D24708t00" w:cs="TTE1D24708t00"/>
          <w:sz w:val="12"/>
          <w:szCs w:val="12"/>
        </w:rPr>
        <w:t xml:space="preserve">as que trabajan en el Centro, según corresponda. Certificado de antigüedad y tipo de contrato, de al menos las personas necesarias para </w:t>
      </w:r>
    </w:p>
    <w:p w:rsidR="00000000" w:rsidRDefault="001245BD">
      <w:pPr>
        <w:pStyle w:val="CM44"/>
        <w:spacing w:after="477" w:line="186" w:lineRule="atLeast"/>
        <w:rPr>
          <w:rFonts w:ascii="TTE1D24708t00" w:hAnsi="TTE1D24708t00" w:cs="TTE1D24708t00"/>
          <w:sz w:val="12"/>
          <w:szCs w:val="12"/>
        </w:rPr>
      </w:pPr>
      <w:r>
        <w:rPr>
          <w:rFonts w:ascii="TTE1D24708t00" w:hAnsi="TTE1D24708t00" w:cs="TTE1D24708t00"/>
          <w:sz w:val="12"/>
          <w:szCs w:val="12"/>
        </w:rPr>
        <w:t>cumplir los requisitos establecidos en el Artículo 6° del reglamento de Elegibilidad de Instituciones Receptoras de rec</w:t>
      </w:r>
      <w:r>
        <w:rPr>
          <w:rFonts w:ascii="TTE1D24708t00" w:hAnsi="TTE1D24708t00" w:cs="TTE1D24708t00"/>
          <w:sz w:val="12"/>
          <w:szCs w:val="12"/>
        </w:rPr>
        <w:t xml:space="preserve">ursos de la provisión FIC, de decisión regional. </w:t>
      </w:r>
    </w:p>
    <w:p w:rsidR="00000000" w:rsidRDefault="001245BD">
      <w:pPr>
        <w:pStyle w:val="CM36"/>
        <w:spacing w:after="177"/>
        <w:rPr>
          <w:rFonts w:ascii="TTE1CDD628t00" w:hAnsi="TTE1CDD628t00" w:cs="TTE1CDD628t00"/>
          <w:sz w:val="14"/>
          <w:szCs w:val="14"/>
        </w:rPr>
      </w:pPr>
      <w:r>
        <w:rPr>
          <w:rFonts w:ascii="TTE1CDD628t00" w:hAnsi="TTE1CDD628t00" w:cs="TTE1CDD628t00"/>
          <w:sz w:val="14"/>
          <w:szCs w:val="14"/>
        </w:rPr>
        <w:t xml:space="preserve">c) Infraestructura </w:t>
      </w:r>
    </w:p>
    <w:p w:rsidR="00000000" w:rsidRDefault="001245BD">
      <w:pPr>
        <w:pStyle w:val="CM36"/>
        <w:spacing w:after="177" w:line="186" w:lineRule="atLeast"/>
        <w:rPr>
          <w:rFonts w:ascii="TTE1D24708t00" w:hAnsi="TTE1D24708t00" w:cs="TTE1D24708t00"/>
          <w:sz w:val="12"/>
          <w:szCs w:val="12"/>
        </w:rPr>
      </w:pPr>
      <w:r>
        <w:rPr>
          <w:rFonts w:ascii="TTE1D24708t00" w:hAnsi="TTE1D24708t00" w:cs="TTE1D24708t00"/>
          <w:sz w:val="12"/>
          <w:szCs w:val="12"/>
        </w:rPr>
        <w:t xml:space="preserve">Copia de contrato de compraventa/arrendamiento/comodato del espacio físico disponible. Declaración Jurada ante notario con el listado del equipamiento disponible para realizar </w:t>
      </w:r>
    </w:p>
    <w:p w:rsidR="00000000" w:rsidRDefault="007433DA">
      <w:pPr>
        <w:pStyle w:val="Default"/>
        <w:framePr w:w="1828" w:wrap="auto" w:vAnchor="page" w:hAnchor="page" w:x="2559" w:y="12899"/>
        <w:rPr>
          <w:rFonts w:ascii="TTE1D24708t00" w:hAnsi="TTE1D24708t00" w:cs="TTE1D24708t00"/>
          <w:color w:val="auto"/>
          <w:sz w:val="12"/>
          <w:szCs w:val="12"/>
        </w:rPr>
      </w:pPr>
      <w:r>
        <w:rPr>
          <w:rFonts w:ascii="TTE1D24708t00" w:hAnsi="TTE1D24708t00" w:cs="TTE1D24708t00"/>
          <w:noProof/>
          <w:color w:val="auto"/>
          <w:sz w:val="12"/>
          <w:szCs w:val="12"/>
        </w:rPr>
        <w:lastRenderedPageBreak/>
        <w:drawing>
          <wp:inline distT="0" distB="0" distL="0" distR="0">
            <wp:extent cx="647700" cy="47625"/>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srcRect/>
                    <a:stretch>
                      <a:fillRect/>
                    </a:stretch>
                  </pic:blipFill>
                  <pic:spPr bwMode="auto">
                    <a:xfrm>
                      <a:off x="0" y="0"/>
                      <a:ext cx="647700" cy="47625"/>
                    </a:xfrm>
                    <a:prstGeom prst="rect">
                      <a:avLst/>
                    </a:prstGeom>
                    <a:noFill/>
                    <a:ln w="9525">
                      <a:noFill/>
                      <a:miter lim="800000"/>
                      <a:headEnd/>
                      <a:tailEnd/>
                    </a:ln>
                  </pic:spPr>
                </pic:pic>
              </a:graphicData>
            </a:graphic>
          </wp:inline>
        </w:drawing>
      </w:r>
    </w:p>
    <w:p w:rsidR="00000000" w:rsidRDefault="007433DA">
      <w:pPr>
        <w:pStyle w:val="Default"/>
        <w:framePr w:w="1369" w:wrap="auto" w:vAnchor="page" w:hAnchor="page" w:x="4697" w:y="12899"/>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352425" cy="47625"/>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srcRect/>
                    <a:stretch>
                      <a:fillRect/>
                    </a:stretch>
                  </pic:blipFill>
                  <pic:spPr bwMode="auto">
                    <a:xfrm>
                      <a:off x="0" y="0"/>
                      <a:ext cx="352425" cy="47625"/>
                    </a:xfrm>
                    <a:prstGeom prst="rect">
                      <a:avLst/>
                    </a:prstGeom>
                    <a:noFill/>
                    <a:ln w="9525">
                      <a:noFill/>
                      <a:miter lim="800000"/>
                      <a:headEnd/>
                      <a:tailEnd/>
                    </a:ln>
                  </pic:spPr>
                </pic:pic>
              </a:graphicData>
            </a:graphic>
          </wp:inline>
        </w:drawing>
      </w:r>
    </w:p>
    <w:p w:rsidR="00000000" w:rsidRDefault="007433DA">
      <w:pPr>
        <w:pStyle w:val="Default"/>
        <w:framePr w:w="862" w:wrap="auto" w:vAnchor="page" w:hAnchor="page" w:x="6341" w:y="12899"/>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38100" cy="4762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srcRect/>
                    <a:stretch>
                      <a:fillRect/>
                    </a:stretch>
                  </pic:blipFill>
                  <pic:spPr bwMode="auto">
                    <a:xfrm>
                      <a:off x="0" y="0"/>
                      <a:ext cx="38100" cy="47625"/>
                    </a:xfrm>
                    <a:prstGeom prst="rect">
                      <a:avLst/>
                    </a:prstGeom>
                    <a:noFill/>
                    <a:ln w="9525">
                      <a:noFill/>
                      <a:miter lim="800000"/>
                      <a:headEnd/>
                      <a:tailEnd/>
                    </a:ln>
                  </pic:spPr>
                </pic:pic>
              </a:graphicData>
            </a:graphic>
          </wp:inline>
        </w:drawing>
      </w:r>
    </w:p>
    <w:p w:rsidR="00000000" w:rsidRDefault="001245BD">
      <w:pPr>
        <w:pStyle w:val="Default"/>
        <w:rPr>
          <w:rFonts w:cstheme="minorBidi"/>
          <w:color w:val="auto"/>
        </w:rPr>
      </w:pPr>
      <w:r>
        <w:rPr>
          <w:noProof/>
        </w:rPr>
        <w:pict>
          <v:shape id="_x0000_s1036" type="#_x0000_t202" style="position:absolute;margin-left:76.25pt;margin-top:629.9pt;width:379.8pt;height:57.6pt;z-index:25166848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792"/>
                    <w:gridCol w:w="880"/>
                    <w:gridCol w:w="530"/>
                    <w:gridCol w:w="265"/>
                    <w:gridCol w:w="605"/>
                    <w:gridCol w:w="280"/>
                    <w:gridCol w:w="58"/>
                    <w:gridCol w:w="255"/>
                    <w:gridCol w:w="95"/>
                    <w:gridCol w:w="875"/>
                    <w:gridCol w:w="957"/>
                    <w:gridCol w:w="2264"/>
                  </w:tblGrid>
                  <w:tr w:rsidR="00000000">
                    <w:tblPrEx>
                      <w:tblCellMar>
                        <w:top w:w="0" w:type="dxa"/>
                        <w:bottom w:w="0" w:type="dxa"/>
                      </w:tblCellMar>
                    </w:tblPrEx>
                    <w:trPr>
                      <w:gridAfter w:val="1"/>
                      <w:wAfter w:w="1602" w:type="dxa"/>
                      <w:trHeight w:val="321"/>
                    </w:trPr>
                    <w:tc>
                      <w:tcPr>
                        <w:tcW w:w="3865" w:type="dxa"/>
                        <w:gridSpan w:val="5"/>
                        <w:vAlign w:val="center"/>
                      </w:tcPr>
                      <w:p w:rsidR="00000000" w:rsidRDefault="001245BD">
                        <w:pPr>
                          <w:pStyle w:val="Default"/>
                          <w:jc w:val="right"/>
                          <w:rPr>
                            <w:rFonts w:ascii="TTE1D24708t00" w:hAnsi="TTE1D24708t00" w:cs="TTE1D24708t00"/>
                            <w:sz w:val="12"/>
                            <w:szCs w:val="12"/>
                          </w:rPr>
                        </w:pPr>
                        <w:r>
                          <w:rPr>
                            <w:rFonts w:ascii="TTE1D24708t00" w:hAnsi="TTE1D24708t00" w:cs="TTE1D24708t00"/>
                            <w:sz w:val="12"/>
                            <w:szCs w:val="12"/>
                          </w:rPr>
                          <w:t xml:space="preserve">difusión tecnológica de: redes instaladas de infoactividades investigación, laboratorios debidamente equipados. </w:t>
                        </w:r>
                      </w:p>
                    </w:tc>
                    <w:tc>
                      <w:tcPr>
                        <w:tcW w:w="885" w:type="dxa"/>
                        <w:gridSpan w:val="2"/>
                        <w:vAlign w:val="center"/>
                      </w:tcPr>
                      <w:p w:rsidR="00000000" w:rsidRDefault="001245BD">
                        <w:pPr>
                          <w:pStyle w:val="Default"/>
                          <w:rPr>
                            <w:rFonts w:ascii="TTE1D24708t00" w:hAnsi="TTE1D24708t00" w:cs="TTE1D24708t00"/>
                            <w:sz w:val="12"/>
                            <w:szCs w:val="12"/>
                          </w:rPr>
                        </w:pPr>
                        <w:r>
                          <w:rPr>
                            <w:rFonts w:ascii="TTE1D24708t00" w:hAnsi="TTE1D24708t00" w:cs="TTE1D24708t00"/>
                            <w:sz w:val="12"/>
                            <w:szCs w:val="12"/>
                          </w:rPr>
                          <w:t xml:space="preserve">rmación y tecnológico, </w:t>
                        </w:r>
                      </w:p>
                    </w:tc>
                    <w:tc>
                      <w:tcPr>
                        <w:tcW w:w="212" w:type="dxa"/>
                        <w:gridSpan w:val="2"/>
                        <w:vAlign w:val="center"/>
                      </w:tcPr>
                      <w:p w:rsidR="00000000" w:rsidRDefault="001245BD">
                        <w:pPr>
                          <w:pStyle w:val="Default"/>
                          <w:jc w:val="right"/>
                          <w:rPr>
                            <w:rFonts w:ascii="TTE1D24708t00" w:hAnsi="TTE1D24708t00" w:cs="TTE1D24708t00"/>
                            <w:sz w:val="12"/>
                            <w:szCs w:val="12"/>
                          </w:rPr>
                        </w:pPr>
                        <w:r>
                          <w:rPr>
                            <w:rFonts w:ascii="TTE1D24708t00" w:hAnsi="TTE1D24708t00" w:cs="TTE1D24708t00"/>
                            <w:sz w:val="12"/>
                            <w:szCs w:val="12"/>
                          </w:rPr>
                          <w:t>doc</w:t>
                        </w:r>
                      </w:p>
                    </w:tc>
                    <w:tc>
                      <w:tcPr>
                        <w:tcW w:w="875" w:type="dxa"/>
                        <w:gridSpan w:val="2"/>
                        <w:vAlign w:val="center"/>
                      </w:tcPr>
                      <w:p w:rsidR="00000000" w:rsidRDefault="001245BD">
                        <w:pPr>
                          <w:pStyle w:val="Default"/>
                          <w:rPr>
                            <w:rFonts w:ascii="TTE1D24708t00" w:hAnsi="TTE1D24708t00" w:cs="TTE1D24708t00"/>
                            <w:sz w:val="12"/>
                            <w:szCs w:val="12"/>
                          </w:rPr>
                        </w:pPr>
                        <w:r>
                          <w:rPr>
                            <w:rFonts w:ascii="TTE1D24708t00" w:hAnsi="TTE1D24708t00" w:cs="TTE1D24708t00"/>
                            <w:sz w:val="12"/>
                            <w:szCs w:val="12"/>
                          </w:rPr>
                          <w:t xml:space="preserve">transferencia umentación, </w:t>
                        </w:r>
                      </w:p>
                    </w:tc>
                    <w:tc>
                      <w:tcPr>
                        <w:tcW w:w="957" w:type="dxa"/>
                        <w:vAlign w:val="center"/>
                      </w:tcPr>
                      <w:p w:rsidR="00000000" w:rsidRDefault="001245BD">
                        <w:pPr>
                          <w:pStyle w:val="Default"/>
                          <w:rPr>
                            <w:rFonts w:cstheme="minorBidi"/>
                            <w:color w:val="auto"/>
                          </w:rPr>
                        </w:pPr>
                      </w:p>
                    </w:tc>
                  </w:tr>
                  <w:tr w:rsidR="00000000">
                    <w:tblPrEx>
                      <w:tblCellMar>
                        <w:top w:w="0" w:type="dxa"/>
                        <w:bottom w:w="0" w:type="dxa"/>
                      </w:tblCellMar>
                    </w:tblPrEx>
                    <w:trPr>
                      <w:gridAfter w:val="1"/>
                      <w:wAfter w:w="1601" w:type="dxa"/>
                      <w:trHeight w:val="132"/>
                    </w:trPr>
                    <w:tc>
                      <w:tcPr>
                        <w:tcW w:w="3602" w:type="dxa"/>
                        <w:gridSpan w:val="4"/>
                        <w:vAlign w:val="bottom"/>
                      </w:tcPr>
                      <w:p w:rsidR="00000000" w:rsidRDefault="001245BD">
                        <w:pPr>
                          <w:pStyle w:val="Default"/>
                          <w:jc w:val="right"/>
                          <w:rPr>
                            <w:rFonts w:ascii="TTE1CDD628t00" w:hAnsi="TTE1CDD628t00" w:cs="TTE1CDD628t00"/>
                            <w:sz w:val="14"/>
                            <w:szCs w:val="14"/>
                          </w:rPr>
                        </w:pPr>
                        <w:r>
                          <w:rPr>
                            <w:rFonts w:ascii="TTE1CDD628t00" w:hAnsi="TTE1CDD628t00" w:cs="TTE1CDD628t00"/>
                            <w:sz w:val="14"/>
                            <w:szCs w:val="14"/>
                          </w:rPr>
                          <w:t>Sistema de administración financiera</w:t>
                        </w:r>
                        <w:r>
                          <w:rPr>
                            <w:rFonts w:ascii="TTE1CDD628t00" w:hAnsi="TTE1CDD628t00" w:cs="TTE1CDD628t00"/>
                            <w:sz w:val="14"/>
                            <w:szCs w:val="14"/>
                          </w:rPr>
                          <w:softHyphen/>
                          <w:t xml:space="preserve">contable </w:t>
                        </w:r>
                      </w:p>
                    </w:tc>
                    <w:tc>
                      <w:tcPr>
                        <w:tcW w:w="265" w:type="dxa"/>
                      </w:tcPr>
                      <w:p w:rsidR="00000000" w:rsidRDefault="001245BD">
                        <w:pPr>
                          <w:pStyle w:val="Default"/>
                          <w:rPr>
                            <w:rFonts w:cstheme="minorBidi"/>
                            <w:color w:val="auto"/>
                          </w:rPr>
                        </w:pPr>
                      </w:p>
                    </w:tc>
                    <w:tc>
                      <w:tcPr>
                        <w:tcW w:w="605" w:type="dxa"/>
                      </w:tcPr>
                      <w:p w:rsidR="00000000" w:rsidRDefault="001245BD">
                        <w:pPr>
                          <w:pStyle w:val="Default"/>
                          <w:jc w:val="right"/>
                          <w:rPr>
                            <w:rFonts w:cstheme="minorBidi"/>
                            <w:color w:val="auto"/>
                          </w:rPr>
                        </w:pPr>
                      </w:p>
                    </w:tc>
                    <w:tc>
                      <w:tcPr>
                        <w:tcW w:w="280" w:type="dxa"/>
                        <w:gridSpan w:val="2"/>
                      </w:tcPr>
                      <w:p w:rsidR="00000000" w:rsidRDefault="001245BD">
                        <w:pPr>
                          <w:pStyle w:val="Default"/>
                          <w:rPr>
                            <w:rFonts w:cstheme="minorBidi"/>
                            <w:color w:val="auto"/>
                          </w:rPr>
                        </w:pPr>
                      </w:p>
                    </w:tc>
                    <w:tc>
                      <w:tcPr>
                        <w:tcW w:w="212" w:type="dxa"/>
                        <w:gridSpan w:val="2"/>
                      </w:tcPr>
                      <w:p w:rsidR="00000000" w:rsidRDefault="001245BD">
                        <w:pPr>
                          <w:pStyle w:val="Default"/>
                          <w:rPr>
                            <w:rFonts w:cstheme="minorBidi"/>
                            <w:color w:val="auto"/>
                          </w:rPr>
                        </w:pPr>
                      </w:p>
                    </w:tc>
                    <w:tc>
                      <w:tcPr>
                        <w:tcW w:w="875" w:type="dxa"/>
                      </w:tcPr>
                      <w:p w:rsidR="00000000" w:rsidRDefault="001245BD">
                        <w:pPr>
                          <w:pStyle w:val="Default"/>
                          <w:rPr>
                            <w:rFonts w:cstheme="minorBidi"/>
                            <w:color w:val="auto"/>
                          </w:rPr>
                        </w:pPr>
                      </w:p>
                    </w:tc>
                    <w:tc>
                      <w:tcPr>
                        <w:tcW w:w="957" w:type="dxa"/>
                      </w:tcPr>
                      <w:p w:rsidR="00000000" w:rsidRDefault="001245BD">
                        <w:pPr>
                          <w:pStyle w:val="Default"/>
                          <w:rPr>
                            <w:rFonts w:cstheme="minorBidi"/>
                            <w:color w:val="auto"/>
                          </w:rPr>
                        </w:pPr>
                      </w:p>
                    </w:tc>
                  </w:tr>
                </w:tbl>
              </w:txbxContent>
            </v:textbox>
            <w10:wrap type="through" anchorx="page" anchory="page"/>
          </v:shape>
        </w:pict>
      </w:r>
    </w:p>
    <w:p w:rsidR="00000000" w:rsidRDefault="001245BD">
      <w:pPr>
        <w:pStyle w:val="CM26"/>
        <w:jc w:val="both"/>
        <w:rPr>
          <w:rFonts w:ascii="TTE1D24708t00" w:hAnsi="TTE1D24708t00" w:cs="TTE1D24708t00"/>
          <w:sz w:val="12"/>
          <w:szCs w:val="12"/>
        </w:rPr>
      </w:pPr>
      <w:r>
        <w:rPr>
          <w:rFonts w:ascii="TTE1D24708t00" w:hAnsi="TTE1D24708t00" w:cs="TTE1D24708t00"/>
          <w:sz w:val="12"/>
          <w:szCs w:val="12"/>
        </w:rPr>
        <w:t xml:space="preserve">Descripción del sistema de administración financiera </w:t>
      </w:r>
      <w:r>
        <w:rPr>
          <w:rFonts w:ascii="TTE1D24708t00" w:hAnsi="TTE1D24708t00" w:cs="TTE1D24708t00"/>
          <w:sz w:val="12"/>
          <w:szCs w:val="12"/>
        </w:rPr>
        <w:softHyphen/>
        <w:t xml:space="preserve">contable. </w:t>
      </w:r>
    </w:p>
    <w:p w:rsidR="00000000" w:rsidRDefault="001245BD">
      <w:pPr>
        <w:pStyle w:val="CM26"/>
        <w:jc w:val="both"/>
        <w:rPr>
          <w:rFonts w:ascii="TTE1D24708t00" w:hAnsi="TTE1D24708t00" w:cs="TTE1D24708t00"/>
          <w:sz w:val="12"/>
          <w:szCs w:val="12"/>
        </w:rPr>
      </w:pPr>
      <w:r>
        <w:rPr>
          <w:rFonts w:ascii="TTE1D24708t00" w:hAnsi="TTE1D24708t00" w:cs="TTE1D24708t00"/>
          <w:sz w:val="12"/>
          <w:szCs w:val="12"/>
        </w:rPr>
        <w:t xml:space="preserve">Flujo de procesos que sigue contrato. </w:t>
      </w:r>
    </w:p>
    <w:p w:rsidR="00000000" w:rsidRDefault="001245BD">
      <w:pPr>
        <w:pStyle w:val="CM39"/>
        <w:spacing w:after="87" w:line="198" w:lineRule="atLeast"/>
        <w:jc w:val="both"/>
        <w:rPr>
          <w:rFonts w:ascii="TTE1D24708t00" w:hAnsi="TTE1D24708t00" w:cs="TTE1D24708t00"/>
          <w:sz w:val="12"/>
          <w:szCs w:val="12"/>
        </w:rPr>
      </w:pPr>
      <w:r>
        <w:rPr>
          <w:rFonts w:ascii="TTE1D24708t00" w:hAnsi="TTE1D24708t00" w:cs="TTE1D24708t00"/>
          <w:sz w:val="12"/>
          <w:szCs w:val="12"/>
        </w:rPr>
        <w:t xml:space="preserve">Reportes que emite el sistema que indiquen ingresos y gastos por </w:t>
      </w:r>
      <w:r>
        <w:rPr>
          <w:rFonts w:ascii="TTE1D24708t00" w:hAnsi="TTE1D24708t00" w:cs="TTE1D24708t00"/>
          <w:sz w:val="12"/>
          <w:szCs w:val="12"/>
        </w:rPr>
        <w:t xml:space="preserve">cada contrato. Dirección web (si aplica). </w:t>
      </w:r>
    </w:p>
    <w:p w:rsidR="00000000" w:rsidRDefault="001245BD">
      <w:pPr>
        <w:pStyle w:val="CM3"/>
        <w:jc w:val="both"/>
        <w:rPr>
          <w:rFonts w:ascii="TTE1CD6728t00" w:hAnsi="TTE1CD6728t00" w:cs="TTE1CD6728t00"/>
          <w:sz w:val="19"/>
          <w:szCs w:val="19"/>
        </w:rPr>
      </w:pPr>
      <w:r>
        <w:rPr>
          <w:rFonts w:ascii="TTE1CD6728t00" w:hAnsi="TTE1CD6728t00" w:cs="TTE1CD6728t00"/>
          <w:sz w:val="19"/>
          <w:szCs w:val="19"/>
        </w:rPr>
        <w:t xml:space="preserve">22 </w:t>
      </w:r>
    </w:p>
    <w:p w:rsidR="00000000" w:rsidRDefault="001245BD">
      <w:pPr>
        <w:pStyle w:val="CM36"/>
        <w:spacing w:after="177" w:line="198" w:lineRule="atLeast"/>
        <w:jc w:val="both"/>
        <w:rPr>
          <w:rFonts w:ascii="TTE1CDD628t00" w:hAnsi="TTE1CDD628t00" w:cs="TTE1CDD628t00"/>
          <w:sz w:val="12"/>
          <w:szCs w:val="12"/>
        </w:rPr>
      </w:pPr>
      <w:r>
        <w:rPr>
          <w:rFonts w:ascii="TTE1CDD628t00" w:hAnsi="TTE1CDD628t00" w:cs="TTE1CDD628t00"/>
          <w:sz w:val="12"/>
          <w:szCs w:val="12"/>
        </w:rPr>
        <w:t xml:space="preserve">Calificación </w:t>
      </w:r>
    </w:p>
    <w:p w:rsidR="00000000" w:rsidRDefault="007433DA">
      <w:pPr>
        <w:pStyle w:val="Default"/>
        <w:framePr w:w="922" w:wrap="auto" w:vAnchor="page" w:hAnchor="page" w:x="1486" w:y="9766"/>
        <w:spacing w:after="1240"/>
        <w:rPr>
          <w:rFonts w:ascii="TTE1CDD628t00" w:hAnsi="TTE1CDD628t00" w:cs="TTE1CDD628t00"/>
          <w:color w:val="auto"/>
          <w:sz w:val="12"/>
          <w:szCs w:val="12"/>
        </w:rPr>
      </w:pPr>
      <w:r>
        <w:rPr>
          <w:rFonts w:ascii="TTE1CDD628t00" w:hAnsi="TTE1CDD628t00" w:cs="TTE1CDD628t00"/>
          <w:noProof/>
          <w:color w:val="auto"/>
          <w:sz w:val="12"/>
          <w:szCs w:val="12"/>
        </w:rPr>
        <w:drawing>
          <wp:inline distT="0" distB="0" distL="0" distR="0">
            <wp:extent cx="76200" cy="847725"/>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srcRect/>
                    <a:stretch>
                      <a:fillRect/>
                    </a:stretch>
                  </pic:blipFill>
                  <pic:spPr bwMode="auto">
                    <a:xfrm>
                      <a:off x="0" y="0"/>
                      <a:ext cx="76200" cy="847725"/>
                    </a:xfrm>
                    <a:prstGeom prst="rect">
                      <a:avLst/>
                    </a:prstGeom>
                    <a:noFill/>
                    <a:ln w="9525">
                      <a:noFill/>
                      <a:miter lim="800000"/>
                      <a:headEnd/>
                      <a:tailEnd/>
                    </a:ln>
                  </pic:spPr>
                </pic:pic>
              </a:graphicData>
            </a:graphic>
          </wp:inline>
        </w:drawing>
      </w:r>
    </w:p>
    <w:p w:rsidR="00000000" w:rsidRDefault="007433DA">
      <w:pPr>
        <w:pStyle w:val="Default"/>
        <w:framePr w:w="922" w:wrap="auto" w:vAnchor="page" w:hAnchor="page" w:x="1486" w:y="12339"/>
        <w:spacing w:after="820"/>
        <w:rPr>
          <w:rFonts w:ascii="TTE1CDD628t00" w:hAnsi="TTE1CDD628t00" w:cs="TTE1CDD628t00"/>
          <w:color w:val="auto"/>
          <w:sz w:val="12"/>
          <w:szCs w:val="12"/>
        </w:rPr>
      </w:pPr>
      <w:r>
        <w:rPr>
          <w:rFonts w:ascii="TTE1CDD628t00" w:hAnsi="TTE1CDD628t00" w:cs="TTE1CDD628t00"/>
          <w:noProof/>
          <w:color w:val="auto"/>
          <w:sz w:val="12"/>
          <w:szCs w:val="12"/>
        </w:rPr>
        <w:drawing>
          <wp:inline distT="0" distB="0" distL="0" distR="0">
            <wp:extent cx="76200" cy="3429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a:srcRect/>
                    <a:stretch>
                      <a:fillRect/>
                    </a:stretch>
                  </pic:blipFill>
                  <pic:spPr bwMode="auto">
                    <a:xfrm>
                      <a:off x="0" y="0"/>
                      <a:ext cx="76200" cy="342900"/>
                    </a:xfrm>
                    <a:prstGeom prst="rect">
                      <a:avLst/>
                    </a:prstGeom>
                    <a:noFill/>
                    <a:ln w="9525">
                      <a:noFill/>
                      <a:miter lim="800000"/>
                      <a:headEnd/>
                      <a:tailEnd/>
                    </a:ln>
                  </pic:spPr>
                </pic:pic>
              </a:graphicData>
            </a:graphic>
          </wp:inline>
        </w:drawing>
      </w:r>
    </w:p>
    <w:p w:rsidR="00000000" w:rsidRDefault="007433DA">
      <w:pPr>
        <w:pStyle w:val="Default"/>
        <w:framePr w:w="945" w:wrap="auto" w:vAnchor="page" w:hAnchor="page" w:x="1486" w:y="13717"/>
        <w:spacing w:after="160"/>
        <w:rPr>
          <w:rFonts w:ascii="TTE1CDD628t00" w:hAnsi="TTE1CDD628t00" w:cs="TTE1CDD628t00"/>
          <w:color w:val="auto"/>
          <w:sz w:val="12"/>
          <w:szCs w:val="12"/>
        </w:rPr>
      </w:pPr>
      <w:r>
        <w:rPr>
          <w:rFonts w:ascii="TTE1CDD628t00" w:hAnsi="TTE1CDD628t00" w:cs="TTE1CDD628t00"/>
          <w:noProof/>
          <w:color w:val="auto"/>
          <w:sz w:val="12"/>
          <w:szCs w:val="12"/>
        </w:rPr>
        <w:drawing>
          <wp:inline distT="0" distB="0" distL="0" distR="0">
            <wp:extent cx="104775" cy="733425"/>
            <wp:effectExtent l="1905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srcRect/>
                    <a:stretch>
                      <a:fillRect/>
                    </a:stretch>
                  </pic:blipFill>
                  <pic:spPr bwMode="auto">
                    <a:xfrm>
                      <a:off x="0" y="0"/>
                      <a:ext cx="104775" cy="733425"/>
                    </a:xfrm>
                    <a:prstGeom prst="rect">
                      <a:avLst/>
                    </a:prstGeom>
                    <a:noFill/>
                    <a:ln w="9525">
                      <a:noFill/>
                      <a:miter lim="800000"/>
                      <a:headEnd/>
                      <a:tailEnd/>
                    </a:ln>
                  </pic:spPr>
                </pic:pic>
              </a:graphicData>
            </a:graphic>
          </wp:inline>
        </w:drawing>
      </w:r>
    </w:p>
    <w:p w:rsidR="00000000" w:rsidRDefault="001245BD">
      <w:pPr>
        <w:pStyle w:val="Default"/>
        <w:rPr>
          <w:rFonts w:cstheme="minorBidi"/>
          <w:color w:val="auto"/>
        </w:rPr>
      </w:pPr>
      <w:r>
        <w:rPr>
          <w:noProof/>
        </w:rPr>
        <w:pict>
          <v:shape id="_x0000_s1037" type="#_x0000_t202" style="position:absolute;margin-left:370.15pt;margin-top:273.2pt;width:193.6pt;height:55.6pt;z-index:25166950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1792"/>
                    <w:gridCol w:w="880"/>
                    <w:gridCol w:w="6184"/>
                  </w:tblGrid>
                  <w:tr w:rsidR="00000000">
                    <w:tblPrEx>
                      <w:tblCellMar>
                        <w:top w:w="0" w:type="dxa"/>
                        <w:bottom w:w="0" w:type="dxa"/>
                      </w:tblCellMar>
                    </w:tblPrEx>
                    <w:trPr>
                      <w:gridAfter w:val="1"/>
                      <w:wAfter w:w="3461" w:type="dxa"/>
                      <w:trHeight w:val="202"/>
                    </w:trPr>
                    <w:tc>
                      <w:tcPr>
                        <w:tcW w:w="2192"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1245BD">
                        <w:pPr>
                          <w:pStyle w:val="Default"/>
                          <w:rPr>
                            <w:rFonts w:ascii="TTE1D24708t00" w:hAnsi="TTE1D24708t00" w:cs="TTE1D24708t00"/>
                            <w:sz w:val="12"/>
                            <w:szCs w:val="12"/>
                          </w:rPr>
                        </w:pPr>
                        <w:r>
                          <w:rPr>
                            <w:rFonts w:ascii="TTE1D24708t00" w:hAnsi="TTE1D24708t00" w:cs="TTE1D24708t00"/>
                            <w:sz w:val="12"/>
                            <w:szCs w:val="12"/>
                          </w:rPr>
                          <w:t xml:space="preserve">Cantidad total de proyectos </w:t>
                        </w:r>
                      </w:p>
                    </w:tc>
                    <w:tc>
                      <w:tcPr>
                        <w:tcW w:w="880" w:type="dxa"/>
                        <w:tcBorders>
                          <w:top w:val="single" w:sz="6" w:space="0" w:color="000000"/>
                          <w:left w:val="single" w:sz="8" w:space="0" w:color="000000"/>
                          <w:bottom w:val="single" w:sz="6" w:space="0" w:color="000000"/>
                          <w:right w:val="single" w:sz="6" w:space="0" w:color="000000"/>
                        </w:tcBorders>
                        <w:vAlign w:val="center"/>
                      </w:tcPr>
                      <w:p w:rsidR="00000000" w:rsidRDefault="001245BD">
                        <w:pPr>
                          <w:pStyle w:val="Default"/>
                          <w:rPr>
                            <w:rFonts w:cstheme="minorBidi"/>
                            <w:color w:val="auto"/>
                          </w:rPr>
                        </w:pPr>
                      </w:p>
                    </w:tc>
                  </w:tr>
                  <w:tr w:rsidR="00000000">
                    <w:tblPrEx>
                      <w:tblCellMar>
                        <w:top w:w="0" w:type="dxa"/>
                        <w:bottom w:w="0" w:type="dxa"/>
                      </w:tblCellMar>
                    </w:tblPrEx>
                    <w:trPr>
                      <w:gridAfter w:val="1"/>
                      <w:wAfter w:w="3461" w:type="dxa"/>
                      <w:trHeight w:val="195"/>
                    </w:trPr>
                    <w:tc>
                      <w:tcPr>
                        <w:tcW w:w="2192"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1245BD">
                        <w:pPr>
                          <w:pStyle w:val="Default"/>
                          <w:rPr>
                            <w:rFonts w:ascii="TTE1D24708t00" w:hAnsi="TTE1D24708t00" w:cs="TTE1D24708t00"/>
                            <w:sz w:val="12"/>
                            <w:szCs w:val="12"/>
                          </w:rPr>
                        </w:pPr>
                        <w:r>
                          <w:rPr>
                            <w:rFonts w:ascii="TTE1D24708t00" w:hAnsi="TTE1D24708t00" w:cs="TTE1D24708t00"/>
                            <w:sz w:val="12"/>
                            <w:szCs w:val="12"/>
                          </w:rPr>
                          <w:t xml:space="preserve">Cantidad de proyectos I, DT, T y DT </w:t>
                        </w:r>
                      </w:p>
                    </w:tc>
                    <w:tc>
                      <w:tcPr>
                        <w:tcW w:w="880" w:type="dxa"/>
                        <w:tcBorders>
                          <w:top w:val="single" w:sz="6" w:space="0" w:color="000000"/>
                          <w:left w:val="single" w:sz="8" w:space="0" w:color="000000"/>
                          <w:bottom w:val="single" w:sz="6" w:space="0" w:color="000000"/>
                          <w:right w:val="single" w:sz="6" w:space="0" w:color="000000"/>
                        </w:tcBorders>
                      </w:tcPr>
                      <w:p w:rsidR="00000000" w:rsidRDefault="001245BD">
                        <w:pPr>
                          <w:pStyle w:val="Default"/>
                          <w:rPr>
                            <w:rFonts w:cstheme="minorBidi"/>
                            <w:color w:val="auto"/>
                          </w:rPr>
                        </w:pPr>
                      </w:p>
                    </w:tc>
                  </w:tr>
                  <w:tr w:rsidR="00000000">
                    <w:tblPrEx>
                      <w:tblCellMar>
                        <w:top w:w="0" w:type="dxa"/>
                        <w:bottom w:w="0" w:type="dxa"/>
                      </w:tblCellMar>
                    </w:tblPrEx>
                    <w:trPr>
                      <w:gridAfter w:val="1"/>
                      <w:wAfter w:w="3461" w:type="dxa"/>
                      <w:trHeight w:val="195"/>
                    </w:trPr>
                    <w:tc>
                      <w:tcPr>
                        <w:tcW w:w="2192" w:type="dxa"/>
                        <w:gridSpan w:val="2"/>
                        <w:tcBorders>
                          <w:top w:val="single" w:sz="6" w:space="0" w:color="000000"/>
                          <w:left w:val="single" w:sz="6" w:space="0" w:color="000000"/>
                          <w:bottom w:val="single" w:sz="6" w:space="0" w:color="000000"/>
                          <w:right w:val="single" w:sz="8" w:space="0" w:color="000000"/>
                        </w:tcBorders>
                        <w:vAlign w:val="center"/>
                      </w:tcPr>
                      <w:p w:rsidR="00000000" w:rsidRDefault="001245BD">
                        <w:pPr>
                          <w:pStyle w:val="Default"/>
                          <w:rPr>
                            <w:rFonts w:ascii="TTE1CDD628t00" w:hAnsi="TTE1CDD628t00" w:cs="TTE1CDD628t00"/>
                            <w:sz w:val="12"/>
                            <w:szCs w:val="12"/>
                          </w:rPr>
                        </w:pPr>
                        <w:r>
                          <w:rPr>
                            <w:rFonts w:ascii="TTE1CDD628t00" w:hAnsi="TTE1CDD628t00" w:cs="TTE1CDD628t00"/>
                            <w:sz w:val="12"/>
                            <w:szCs w:val="12"/>
                          </w:rPr>
                          <w:t xml:space="preserve">% Proyectos de I, DT, T y DT </w:t>
                        </w:r>
                      </w:p>
                    </w:tc>
                    <w:tc>
                      <w:tcPr>
                        <w:tcW w:w="880" w:type="dxa"/>
                        <w:tcBorders>
                          <w:top w:val="single" w:sz="6" w:space="0" w:color="000000"/>
                          <w:left w:val="single" w:sz="8" w:space="0" w:color="000000"/>
                          <w:bottom w:val="single" w:sz="6" w:space="0" w:color="000000"/>
                          <w:right w:val="single" w:sz="6" w:space="0" w:color="000000"/>
                        </w:tcBorders>
                      </w:tcPr>
                      <w:p w:rsidR="00000000" w:rsidRDefault="001245BD">
                        <w:pPr>
                          <w:pStyle w:val="Default"/>
                          <w:rPr>
                            <w:rFonts w:cstheme="minorBidi"/>
                            <w:color w:val="auto"/>
                          </w:rPr>
                        </w:pPr>
                      </w:p>
                    </w:tc>
                  </w:tr>
                </w:tbl>
              </w:txbxContent>
            </v:textbox>
            <w10:wrap type="through" anchorx="page" anchory="page"/>
          </v:shape>
        </w:pict>
      </w:r>
    </w:p>
    <w:p w:rsidR="00000000" w:rsidRDefault="007433DA">
      <w:pPr>
        <w:pStyle w:val="Default"/>
        <w:framePr w:w="2579" w:wrap="auto" w:vAnchor="page" w:hAnchor="page" w:x="8834" w:y="7030"/>
        <w:spacing w:after="1000"/>
        <w:rPr>
          <w:rFonts w:cstheme="minorBidi"/>
          <w:color w:val="auto"/>
        </w:rPr>
      </w:pPr>
      <w:r>
        <w:rPr>
          <w:rFonts w:cstheme="minorBidi"/>
          <w:noProof/>
          <w:color w:val="auto"/>
        </w:rPr>
        <w:drawing>
          <wp:inline distT="0" distB="0" distL="0" distR="0">
            <wp:extent cx="1133475" cy="238125"/>
            <wp:effectExtent l="1905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srcRect/>
                    <a:stretch>
                      <a:fillRect/>
                    </a:stretch>
                  </pic:blipFill>
                  <pic:spPr bwMode="auto">
                    <a:xfrm>
                      <a:off x="0" y="0"/>
                      <a:ext cx="1133475" cy="238125"/>
                    </a:xfrm>
                    <a:prstGeom prst="rect">
                      <a:avLst/>
                    </a:prstGeom>
                    <a:noFill/>
                    <a:ln w="9525">
                      <a:noFill/>
                      <a:miter lim="800000"/>
                      <a:headEnd/>
                      <a:tailEnd/>
                    </a:ln>
                  </pic:spPr>
                </pic:pic>
              </a:graphicData>
            </a:graphic>
          </wp:inline>
        </w:drawing>
      </w:r>
    </w:p>
    <w:p w:rsidR="00000000" w:rsidRDefault="007433DA">
      <w:pPr>
        <w:pStyle w:val="Default"/>
        <w:framePr w:w="2579" w:wrap="auto" w:vAnchor="page" w:hAnchor="page" w:x="8834" w:y="8388"/>
        <w:spacing w:after="820"/>
        <w:rPr>
          <w:rFonts w:cstheme="minorBidi"/>
          <w:color w:val="auto"/>
        </w:rPr>
      </w:pPr>
      <w:r>
        <w:rPr>
          <w:rFonts w:cstheme="minorBidi"/>
          <w:noProof/>
          <w:color w:val="auto"/>
        </w:rPr>
        <w:drawing>
          <wp:inline distT="0" distB="0" distL="0" distR="0">
            <wp:extent cx="1133475" cy="238125"/>
            <wp:effectExtent l="1905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srcRect/>
                    <a:stretch>
                      <a:fillRect/>
                    </a:stretch>
                  </pic:blipFill>
                  <pic:spPr bwMode="auto">
                    <a:xfrm>
                      <a:off x="0" y="0"/>
                      <a:ext cx="1133475" cy="238125"/>
                    </a:xfrm>
                    <a:prstGeom prst="rect">
                      <a:avLst/>
                    </a:prstGeom>
                    <a:noFill/>
                    <a:ln w="9525">
                      <a:noFill/>
                      <a:miter lim="800000"/>
                      <a:headEnd/>
                      <a:tailEnd/>
                    </a:ln>
                  </pic:spPr>
                </pic:pic>
              </a:graphicData>
            </a:graphic>
          </wp:inline>
        </w:drawing>
      </w:r>
    </w:p>
    <w:p w:rsidR="00000000" w:rsidRDefault="007433DA">
      <w:pPr>
        <w:pStyle w:val="Default"/>
        <w:framePr w:w="2579" w:wrap="auto" w:vAnchor="page" w:hAnchor="page" w:x="8834" w:y="9576"/>
        <w:spacing w:after="1020"/>
        <w:rPr>
          <w:rFonts w:cstheme="minorBidi"/>
          <w:color w:val="auto"/>
        </w:rPr>
      </w:pPr>
      <w:r>
        <w:rPr>
          <w:rFonts w:cstheme="minorBidi"/>
          <w:noProof/>
          <w:color w:val="auto"/>
        </w:rPr>
        <w:drawing>
          <wp:inline distT="0" distB="0" distL="0" distR="0">
            <wp:extent cx="1133475" cy="981075"/>
            <wp:effectExtent l="1905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srcRect/>
                    <a:stretch>
                      <a:fillRect/>
                    </a:stretch>
                  </pic:blipFill>
                  <pic:spPr bwMode="auto">
                    <a:xfrm>
                      <a:off x="0" y="0"/>
                      <a:ext cx="1133475" cy="981075"/>
                    </a:xfrm>
                    <a:prstGeom prst="rect">
                      <a:avLst/>
                    </a:prstGeom>
                    <a:noFill/>
                    <a:ln w="9525">
                      <a:noFill/>
                      <a:miter lim="800000"/>
                      <a:headEnd/>
                      <a:tailEnd/>
                    </a:ln>
                  </pic:spPr>
                </pic:pic>
              </a:graphicData>
            </a:graphic>
          </wp:inline>
        </w:drawing>
      </w:r>
    </w:p>
    <w:p w:rsidR="00000000" w:rsidRDefault="007433DA">
      <w:pPr>
        <w:pStyle w:val="Default"/>
        <w:framePr w:w="2579" w:wrap="auto" w:vAnchor="page" w:hAnchor="page" w:x="8834" w:y="12142"/>
        <w:spacing w:after="1020"/>
        <w:rPr>
          <w:rFonts w:cstheme="minorBidi"/>
          <w:color w:val="auto"/>
        </w:rPr>
      </w:pPr>
      <w:r>
        <w:rPr>
          <w:rFonts w:cstheme="minorBidi"/>
          <w:noProof/>
          <w:color w:val="auto"/>
        </w:rPr>
        <w:drawing>
          <wp:inline distT="0" distB="0" distL="0" distR="0">
            <wp:extent cx="1133475" cy="485775"/>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srcRect/>
                    <a:stretch>
                      <a:fillRect/>
                    </a:stretch>
                  </pic:blipFill>
                  <pic:spPr bwMode="auto">
                    <a:xfrm>
                      <a:off x="0" y="0"/>
                      <a:ext cx="1133475" cy="485775"/>
                    </a:xfrm>
                    <a:prstGeom prst="rect">
                      <a:avLst/>
                    </a:prstGeom>
                    <a:noFill/>
                    <a:ln w="9525">
                      <a:noFill/>
                      <a:miter lim="800000"/>
                      <a:headEnd/>
                      <a:tailEnd/>
                    </a:ln>
                  </pic:spPr>
                </pic:pic>
              </a:graphicData>
            </a:graphic>
          </wp:inline>
        </w:drawing>
      </w:r>
    </w:p>
    <w:p w:rsidR="00000000" w:rsidRDefault="007433DA">
      <w:pPr>
        <w:pStyle w:val="Default"/>
        <w:framePr w:w="2579" w:wrap="auto" w:vAnchor="page" w:hAnchor="page" w:x="8834" w:y="13916"/>
        <w:spacing w:after="220"/>
        <w:rPr>
          <w:rFonts w:cstheme="minorBidi"/>
          <w:color w:val="auto"/>
        </w:rPr>
      </w:pPr>
      <w:r>
        <w:rPr>
          <w:rFonts w:cstheme="minorBidi"/>
          <w:noProof/>
          <w:color w:val="auto"/>
        </w:rPr>
        <w:drawing>
          <wp:inline distT="0" distB="0" distL="0" distR="0">
            <wp:extent cx="1133475" cy="609600"/>
            <wp:effectExtent l="1905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srcRect/>
                    <a:stretch>
                      <a:fillRect/>
                    </a:stretch>
                  </pic:blipFill>
                  <pic:spPr bwMode="auto">
                    <a:xfrm>
                      <a:off x="0" y="0"/>
                      <a:ext cx="1133475" cy="609600"/>
                    </a:xfrm>
                    <a:prstGeom prst="rect">
                      <a:avLst/>
                    </a:prstGeom>
                    <a:noFill/>
                    <a:ln w="9525">
                      <a:noFill/>
                      <a:miter lim="800000"/>
                      <a:headEnd/>
                      <a:tailEnd/>
                    </a:ln>
                  </pic:spPr>
                </pic:pic>
              </a:graphicData>
            </a:graphic>
          </wp:inline>
        </w:drawing>
      </w:r>
    </w:p>
    <w:p w:rsidR="00000000" w:rsidRDefault="001245BD">
      <w:pPr>
        <w:pStyle w:val="CM39"/>
        <w:spacing w:after="87"/>
        <w:jc w:val="center"/>
        <w:rPr>
          <w:rFonts w:ascii="TTE1D24708t00" w:hAnsi="TTE1D24708t00" w:cs="TTE1D24708t00"/>
          <w:sz w:val="12"/>
          <w:szCs w:val="12"/>
        </w:rPr>
      </w:pPr>
      <w:r>
        <w:rPr>
          <w:rFonts w:ascii="TTE1D24708t00" w:hAnsi="TTE1D24708t00" w:cs="TTE1D24708t00"/>
          <w:sz w:val="12"/>
          <w:szCs w:val="12"/>
        </w:rPr>
        <w:t xml:space="preserve">Desaprueba </w:t>
      </w:r>
    </w:p>
    <w:p w:rsidR="00000000" w:rsidRDefault="007433DA">
      <w:pPr>
        <w:pStyle w:val="Default"/>
        <w:framePr w:w="2579" w:wrap="auto" w:vAnchor="page" w:hAnchor="page" w:x="8834" w:y="15245"/>
        <w:rPr>
          <w:rFonts w:ascii="TTE1D24708t00" w:hAnsi="TTE1D24708t00" w:cs="TTE1D24708t00"/>
          <w:color w:val="auto"/>
          <w:sz w:val="12"/>
          <w:szCs w:val="12"/>
        </w:rPr>
      </w:pPr>
      <w:r>
        <w:rPr>
          <w:rFonts w:ascii="TTE1D24708t00" w:hAnsi="TTE1D24708t00" w:cs="TTE1D24708t00"/>
          <w:noProof/>
          <w:color w:val="auto"/>
          <w:sz w:val="12"/>
          <w:szCs w:val="12"/>
        </w:rPr>
        <w:drawing>
          <wp:inline distT="0" distB="0" distL="0" distR="0">
            <wp:extent cx="1133475" cy="142875"/>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srcRect/>
                    <a:stretch>
                      <a:fillRect/>
                    </a:stretch>
                  </pic:blipFill>
                  <pic:spPr bwMode="auto">
                    <a:xfrm>
                      <a:off x="0" y="0"/>
                      <a:ext cx="1133475" cy="142875"/>
                    </a:xfrm>
                    <a:prstGeom prst="rect">
                      <a:avLst/>
                    </a:prstGeom>
                    <a:noFill/>
                    <a:ln w="9525">
                      <a:noFill/>
                      <a:miter lim="800000"/>
                      <a:headEnd/>
                      <a:tailEnd/>
                    </a:ln>
                  </pic:spPr>
                </pic:pic>
              </a:graphicData>
            </a:graphic>
          </wp:inline>
        </w:drawing>
      </w:r>
    </w:p>
    <w:p w:rsidR="00000000" w:rsidRDefault="007433DA">
      <w:pPr>
        <w:pStyle w:val="Default"/>
        <w:pageBreakBefore/>
        <w:framePr w:w="1488" w:wrap="auto" w:vAnchor="page" w:hAnchor="page" w:x="1683" w:y="1404"/>
        <w:spacing w:after="2620"/>
        <w:rPr>
          <w:rFonts w:ascii="TTE1D24708t00" w:hAnsi="TTE1D24708t00" w:cs="TTE1D24708t00"/>
          <w:color w:val="auto"/>
          <w:sz w:val="12"/>
          <w:szCs w:val="12"/>
        </w:rPr>
      </w:pPr>
      <w:r>
        <w:rPr>
          <w:rFonts w:ascii="TTE1D24708t00" w:hAnsi="TTE1D24708t00" w:cs="TTE1D24708t00"/>
          <w:noProof/>
          <w:color w:val="auto"/>
          <w:sz w:val="12"/>
          <w:szCs w:val="12"/>
        </w:rPr>
        <w:lastRenderedPageBreak/>
        <w:drawing>
          <wp:inline distT="0" distB="0" distL="0" distR="0">
            <wp:extent cx="447675" cy="561975"/>
            <wp:effectExtent l="1905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Default"/>
        <w:rPr>
          <w:rFonts w:cstheme="minorBidi"/>
          <w:color w:val="auto"/>
        </w:rPr>
      </w:pPr>
    </w:p>
    <w:p w:rsidR="00000000" w:rsidRDefault="001245BD">
      <w:pPr>
        <w:pStyle w:val="CM46"/>
        <w:spacing w:after="1327"/>
        <w:jc w:val="center"/>
        <w:rPr>
          <w:sz w:val="46"/>
          <w:szCs w:val="46"/>
        </w:rPr>
      </w:pPr>
      <w:r>
        <w:rPr>
          <w:sz w:val="46"/>
          <w:szCs w:val="46"/>
        </w:rPr>
        <w:t xml:space="preserve">ANEXO 3 </w:t>
      </w:r>
    </w:p>
    <w:p w:rsidR="00000000" w:rsidRDefault="001245BD">
      <w:pPr>
        <w:pStyle w:val="CM43"/>
        <w:spacing w:after="970" w:line="478" w:lineRule="atLeast"/>
        <w:jc w:val="center"/>
        <w:rPr>
          <w:sz w:val="39"/>
          <w:szCs w:val="39"/>
        </w:rPr>
      </w:pPr>
      <w:r>
        <w:rPr>
          <w:sz w:val="39"/>
          <w:szCs w:val="39"/>
        </w:rPr>
        <w:t xml:space="preserve">RESUMEN EJECUTIVO </w:t>
      </w:r>
    </w:p>
    <w:p w:rsidR="00000000" w:rsidRDefault="001245BD">
      <w:pPr>
        <w:pStyle w:val="Default"/>
        <w:rPr>
          <w:rFonts w:cstheme="minorBidi"/>
          <w:color w:val="auto"/>
        </w:rPr>
      </w:pPr>
    </w:p>
    <w:p w:rsidR="00000000" w:rsidRDefault="001245BD">
      <w:pPr>
        <w:pStyle w:val="CM1"/>
        <w:jc w:val="center"/>
        <w:rPr>
          <w:sz w:val="39"/>
          <w:szCs w:val="39"/>
        </w:rPr>
      </w:pPr>
      <w:r>
        <w:rPr>
          <w:sz w:val="39"/>
          <w:szCs w:val="39"/>
        </w:rPr>
        <w:t xml:space="preserve">POLÍTICA REGIONAL DE CIENCIA, TECNOLOGÍA E INNOVACIÓN DE LA REGIÓN DE MAGALLANES Y LA ANTÁRTICA CHILENA 2010 -2020 </w:t>
      </w:r>
    </w:p>
    <w:p w:rsidR="00000000" w:rsidRDefault="007433DA">
      <w:pPr>
        <w:pStyle w:val="Default"/>
        <w:pageBreakBefore/>
        <w:framePr w:w="9416" w:wrap="auto" w:vAnchor="page" w:hAnchor="page" w:x="1659" w:y="1404"/>
        <w:rPr>
          <w:rFonts w:cstheme="minorBidi"/>
          <w:color w:val="auto"/>
          <w:sz w:val="39"/>
          <w:szCs w:val="39"/>
        </w:rPr>
      </w:pPr>
      <w:r>
        <w:rPr>
          <w:rFonts w:cstheme="minorBidi"/>
          <w:noProof/>
          <w:color w:val="auto"/>
          <w:sz w:val="39"/>
          <w:szCs w:val="39"/>
        </w:rPr>
        <w:lastRenderedPageBreak/>
        <w:drawing>
          <wp:inline distT="0" distB="0" distL="0" distR="0">
            <wp:extent cx="5476875" cy="4886325"/>
            <wp:effectExtent l="1905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srcRect/>
                    <a:stretch>
                      <a:fillRect/>
                    </a:stretch>
                  </pic:blipFill>
                  <pic:spPr bwMode="auto">
                    <a:xfrm>
                      <a:off x="0" y="0"/>
                      <a:ext cx="5476875" cy="4886325"/>
                    </a:xfrm>
                    <a:prstGeom prst="rect">
                      <a:avLst/>
                    </a:prstGeom>
                    <a:noFill/>
                    <a:ln w="9525">
                      <a:noFill/>
                      <a:miter lim="800000"/>
                      <a:headEnd/>
                      <a:tailEnd/>
                    </a:ln>
                  </pic:spPr>
                </pic:pic>
              </a:graphicData>
            </a:graphic>
          </wp:inline>
        </w:drawing>
      </w:r>
    </w:p>
    <w:p w:rsidR="00000000" w:rsidRDefault="001245BD">
      <w:pPr>
        <w:pStyle w:val="CM40"/>
        <w:spacing w:after="565"/>
        <w:ind w:left="552"/>
        <w:rPr>
          <w:sz w:val="22"/>
          <w:szCs w:val="22"/>
        </w:rPr>
      </w:pPr>
      <w:r>
        <w:rPr>
          <w:sz w:val="22"/>
          <w:szCs w:val="22"/>
        </w:rPr>
        <w:t>HA</w:t>
      </w:r>
      <w:r>
        <w:rPr>
          <w:sz w:val="22"/>
          <w:szCs w:val="22"/>
        </w:rPr>
        <w:t xml:space="preserve">CER DOBLE CLICK EN EL DOCUEMENTO PARA VERLO COMPLETO </w:t>
      </w:r>
    </w:p>
    <w:p w:rsidR="00000000" w:rsidRDefault="001245BD">
      <w:pPr>
        <w:pStyle w:val="CM36"/>
        <w:spacing w:after="177" w:line="291" w:lineRule="atLeast"/>
        <w:ind w:left="692"/>
        <w:rPr>
          <w:sz w:val="23"/>
          <w:szCs w:val="23"/>
        </w:rPr>
      </w:pPr>
      <w:r>
        <w:rPr>
          <w:sz w:val="23"/>
          <w:szCs w:val="23"/>
        </w:rPr>
        <w:t xml:space="preserve">Lineamientos Estratégicos de Desarrollo Productivo, Región de Magallanes y Antártica Chilena. </w:t>
      </w:r>
    </w:p>
    <w:p w:rsidR="00000000" w:rsidRDefault="001245BD">
      <w:pPr>
        <w:pStyle w:val="CM37"/>
        <w:spacing w:after="277" w:line="291" w:lineRule="atLeast"/>
        <w:ind w:left="692"/>
        <w:rPr>
          <w:rFonts w:ascii="TTE1D653F0t00" w:hAnsi="TTE1D653F0t00" w:cs="TTE1D653F0t00"/>
          <w:sz w:val="23"/>
          <w:szCs w:val="23"/>
        </w:rPr>
      </w:pPr>
      <w:r>
        <w:rPr>
          <w:rFonts w:ascii="TTE1D653F0t00" w:hAnsi="TTE1D653F0t00" w:cs="TTE1D653F0t00"/>
          <w:sz w:val="23"/>
          <w:szCs w:val="23"/>
        </w:rPr>
        <w:t xml:space="preserve">Con el fin de potenciar la relación entre la Política de CTi con los Lineamientos Estratégicos Regionales, </w:t>
      </w:r>
      <w:r>
        <w:rPr>
          <w:rFonts w:ascii="TTE1D653F0t00" w:hAnsi="TTE1D653F0t00" w:cs="TTE1D653F0t00"/>
          <w:sz w:val="23"/>
          <w:szCs w:val="23"/>
        </w:rPr>
        <w:t>se privilegiarán aquellas iniciativas vinculadas al “</w:t>
      </w:r>
      <w:r>
        <w:rPr>
          <w:rFonts w:cs="TTE23EEF90t00"/>
          <w:sz w:val="23"/>
          <w:szCs w:val="23"/>
        </w:rPr>
        <w:t>fortalecimiento de capacidades de innovación regional</w:t>
      </w:r>
      <w:r>
        <w:rPr>
          <w:rFonts w:ascii="TTE1D653F0t00" w:hAnsi="TTE1D653F0t00" w:cs="TTE1D653F0t00"/>
          <w:sz w:val="23"/>
          <w:szCs w:val="23"/>
        </w:rPr>
        <w:t xml:space="preserve">”, vinculadas a los siguientes sectores de Desarrollo Productivo: </w:t>
      </w:r>
    </w:p>
    <w:p w:rsidR="00000000" w:rsidRDefault="001245BD">
      <w:pPr>
        <w:pStyle w:val="CM37"/>
        <w:spacing w:after="277" w:line="288" w:lineRule="atLeast"/>
        <w:ind w:left="690" w:hanging="690"/>
        <w:rPr>
          <w:rFonts w:ascii="TTE1D653F0t00" w:hAnsi="TTE1D653F0t00" w:cs="TTE1D653F0t00"/>
          <w:sz w:val="23"/>
          <w:szCs w:val="23"/>
        </w:rPr>
      </w:pPr>
      <w:r>
        <w:rPr>
          <w:rFonts w:ascii="TTE1724700t00" w:hAnsi="TTE1724700t00" w:cs="TTE1724700t00"/>
          <w:sz w:val="23"/>
          <w:szCs w:val="23"/>
        </w:rPr>
        <w:softHyphen/>
      </w:r>
      <w:r>
        <w:rPr>
          <w:rFonts w:cs="TTE23EEF90t00"/>
          <w:sz w:val="23"/>
          <w:szCs w:val="23"/>
        </w:rPr>
        <w:t xml:space="preserve">Turismo: </w:t>
      </w:r>
      <w:r>
        <w:rPr>
          <w:rFonts w:ascii="TTE1D653F0t00" w:hAnsi="TTE1D653F0t00" w:cs="TTE1D653F0t00"/>
          <w:sz w:val="23"/>
          <w:szCs w:val="23"/>
        </w:rPr>
        <w:t>turismo de naturaleza, turismo de intereses especiales, turismo de crucer</w:t>
      </w:r>
      <w:r>
        <w:rPr>
          <w:rFonts w:ascii="TTE1D653F0t00" w:hAnsi="TTE1D653F0t00" w:cs="TTE1D653F0t00"/>
          <w:sz w:val="23"/>
          <w:szCs w:val="23"/>
        </w:rPr>
        <w:t xml:space="preserve">os, turismo cultural y agroturismo. </w:t>
      </w:r>
      <w:r>
        <w:rPr>
          <w:rFonts w:ascii="TTE1D653F0t00" w:hAnsi="TTE1D653F0t00" w:cs="TTE1D653F0t00"/>
          <w:sz w:val="23"/>
          <w:szCs w:val="23"/>
          <w:u w:val="single"/>
        </w:rPr>
        <w:t>Lineamiento Turismo</w:t>
      </w:r>
      <w:r>
        <w:rPr>
          <w:rFonts w:ascii="TTE1D653F0t00" w:hAnsi="TTE1D653F0t00" w:cs="TTE1D653F0t00"/>
          <w:sz w:val="23"/>
          <w:szCs w:val="23"/>
        </w:rPr>
        <w:t>: Mejorar, diversificar y difundir, nacional e internacionalmente, la oferta turística regional, coordinando esfuerzos públicos y privados, beneficiando además, iniciativas de capacitación y creación d</w:t>
      </w:r>
      <w:r>
        <w:rPr>
          <w:rFonts w:ascii="TTE1D653F0t00" w:hAnsi="TTE1D653F0t00" w:cs="TTE1D653F0t00"/>
          <w:sz w:val="23"/>
          <w:szCs w:val="23"/>
        </w:rPr>
        <w:t xml:space="preserve">e conciencia turística de la comunidad regional. </w:t>
      </w:r>
    </w:p>
    <w:p w:rsidR="00000000" w:rsidRDefault="001245BD">
      <w:pPr>
        <w:pStyle w:val="CM27"/>
        <w:ind w:left="690" w:hanging="690"/>
        <w:rPr>
          <w:rFonts w:ascii="TTE1D653F0t00" w:hAnsi="TTE1D653F0t00" w:cs="TTE1D653F0t00"/>
          <w:sz w:val="23"/>
          <w:szCs w:val="23"/>
        </w:rPr>
      </w:pPr>
      <w:r>
        <w:rPr>
          <w:rFonts w:ascii="TTE1D653F0t00" w:hAnsi="TTE1D653F0t00" w:cs="TTE1D653F0t00"/>
          <w:sz w:val="23"/>
          <w:szCs w:val="23"/>
        </w:rPr>
        <w:t>•</w:t>
      </w:r>
      <w:r>
        <w:rPr>
          <w:rFonts w:ascii="TTE1D653F0t00" w:hAnsi="TTE1D653F0t00" w:cs="TTE1D653F0t00"/>
          <w:sz w:val="23"/>
          <w:szCs w:val="23"/>
        </w:rPr>
        <w:t xml:space="preserve"> </w:t>
      </w:r>
      <w:r>
        <w:rPr>
          <w:rFonts w:cs="TTE23EEF90t00"/>
          <w:sz w:val="23"/>
          <w:szCs w:val="23"/>
        </w:rPr>
        <w:t>Minero-Energético</w:t>
      </w:r>
      <w:r>
        <w:rPr>
          <w:rFonts w:ascii="TTE1D653F0t00" w:hAnsi="TTE1D653F0t00" w:cs="TTE1D653F0t00"/>
          <w:sz w:val="23"/>
          <w:szCs w:val="23"/>
        </w:rPr>
        <w:t xml:space="preserve">: explotación de gas, explotación de carbón, explotación de turba y energías renovables. </w:t>
      </w:r>
    </w:p>
    <w:p w:rsidR="00000000" w:rsidRDefault="007433DA">
      <w:pPr>
        <w:pStyle w:val="Default"/>
        <w:pageBreakBefore/>
        <w:framePr w:w="1488" w:wrap="auto" w:vAnchor="page" w:hAnchor="page" w:x="1683" w:y="1404"/>
        <w:spacing w:after="340"/>
        <w:rPr>
          <w:rFonts w:ascii="TTE1D653F0t00" w:hAnsi="TTE1D653F0t00" w:cs="TTE1D653F0t00"/>
          <w:color w:val="auto"/>
          <w:sz w:val="23"/>
          <w:szCs w:val="23"/>
        </w:rPr>
      </w:pPr>
      <w:r>
        <w:rPr>
          <w:rFonts w:ascii="TTE1D653F0t00" w:hAnsi="TTE1D653F0t00" w:cs="TTE1D653F0t00"/>
          <w:noProof/>
          <w:color w:val="auto"/>
          <w:sz w:val="23"/>
          <w:szCs w:val="23"/>
        </w:rPr>
        <w:lastRenderedPageBreak/>
        <w:drawing>
          <wp:inline distT="0" distB="0" distL="0" distR="0">
            <wp:extent cx="447675" cy="561975"/>
            <wp:effectExtent l="1905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Default"/>
        <w:rPr>
          <w:rFonts w:cstheme="minorBidi"/>
          <w:color w:val="auto"/>
        </w:rPr>
      </w:pPr>
      <w:r>
        <w:rPr>
          <w:noProof/>
        </w:rPr>
        <w:pict>
          <v:shape id="_x0000_s1038" type="#_x0000_t202" style="position:absolute;margin-left:72.9pt;margin-top:114.65pt;width:500.4pt;height:719pt;z-index:25167052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0"/>
                    <w:gridCol w:w="8856"/>
                  </w:tblGrid>
                  <w:tr w:rsidR="00000000">
                    <w:tblPrEx>
                      <w:tblCellMar>
                        <w:top w:w="0" w:type="dxa"/>
                        <w:bottom w:w="0" w:type="dxa"/>
                      </w:tblCellMar>
                    </w:tblPrEx>
                    <w:trPr>
                      <w:wAfter w:w="421" w:type="dxa"/>
                      <w:trHeight w:val="472"/>
                    </w:trPr>
                    <w:tc>
                      <w:tcPr>
                        <w:tcW w:w="9152" w:type="dxa"/>
                        <w:gridSpan w:val="2"/>
                      </w:tcPr>
                      <w:p w:rsidR="00000000" w:rsidRDefault="001245BD">
                        <w:pPr>
                          <w:pStyle w:val="Default"/>
                          <w:rPr>
                            <w:rFonts w:ascii="TTE1D653F0t00" w:hAnsi="TTE1D653F0t00" w:cs="TTE1D653F0t00"/>
                            <w:sz w:val="23"/>
                            <w:szCs w:val="23"/>
                          </w:rPr>
                        </w:pPr>
                        <w:r>
                          <w:rPr>
                            <w:rFonts w:ascii="TTE1D653F0t00" w:hAnsi="TTE1D653F0t00" w:cs="TTE1D653F0t00"/>
                            <w:sz w:val="23"/>
                            <w:szCs w:val="23"/>
                          </w:rPr>
                          <w:t>Lineamiento Minero-Energético: Lograr un uso racional del gas natural para extender las reservas disponibles; diversificar las fuentes energéticas a través de la incorporación de energías renovables; obtener informació</w:t>
                        </w:r>
                        <w:r>
                          <w:rPr>
                            <w:rFonts w:ascii="TTE1D653F0t00" w:hAnsi="TTE1D653F0t00" w:cs="TTE1D653F0t00"/>
                            <w:sz w:val="23"/>
                            <w:szCs w:val="23"/>
                          </w:rPr>
                          <w:t xml:space="preserve">n básica minera y geológica de la Región. </w:t>
                        </w:r>
                      </w:p>
                    </w:tc>
                  </w:tr>
                  <w:tr w:rsidR="00000000">
                    <w:tblPrEx>
                      <w:tblCellMar>
                        <w:top w:w="0" w:type="dxa"/>
                        <w:bottom w:w="0" w:type="dxa"/>
                      </w:tblCellMar>
                    </w:tblPrEx>
                    <w:trPr>
                      <w:wAfter w:w="421" w:type="dxa"/>
                      <w:trHeight w:val="861"/>
                    </w:trPr>
                    <w:tc>
                      <w:tcPr>
                        <w:tcW w:w="400" w:type="dxa"/>
                      </w:tcPr>
                      <w:p w:rsidR="00000000" w:rsidRDefault="001245BD">
                        <w:pPr>
                          <w:pStyle w:val="Default"/>
                          <w:rPr>
                            <w:rFonts w:cstheme="minorBidi"/>
                            <w:sz w:val="23"/>
                            <w:szCs w:val="23"/>
                          </w:rPr>
                        </w:pPr>
                        <w:r>
                          <w:rPr>
                            <w:rFonts w:cstheme="minorBidi"/>
                            <w:sz w:val="23"/>
                            <w:szCs w:val="23"/>
                          </w:rPr>
                          <w:t>•</w:t>
                        </w:r>
                        <w:r>
                          <w:rPr>
                            <w:rFonts w:cstheme="minorBidi"/>
                            <w:sz w:val="23"/>
                            <w:szCs w:val="23"/>
                          </w:rPr>
                          <w:t xml:space="preserve"> </w:t>
                        </w:r>
                      </w:p>
                    </w:tc>
                    <w:tc>
                      <w:tcPr>
                        <w:tcW w:w="8752" w:type="dxa"/>
                        <w:vAlign w:val="center"/>
                      </w:tcPr>
                      <w:p w:rsidR="00000000" w:rsidRDefault="001245BD">
                        <w:pPr>
                          <w:pStyle w:val="Default"/>
                          <w:rPr>
                            <w:rFonts w:ascii="TTE1D653F0t00" w:hAnsi="TTE1D653F0t00" w:cs="TTE1D653F0t00"/>
                            <w:sz w:val="23"/>
                            <w:szCs w:val="23"/>
                          </w:rPr>
                        </w:pPr>
                        <w:r>
                          <w:rPr>
                            <w:sz w:val="23"/>
                            <w:szCs w:val="23"/>
                          </w:rPr>
                          <w:t>Pesca</w:t>
                        </w:r>
                        <w:r>
                          <w:rPr>
                            <w:rFonts w:ascii="TTE1D653F0t00" w:hAnsi="TTE1D653F0t00" w:cs="TTE1D653F0t00"/>
                            <w:sz w:val="23"/>
                            <w:szCs w:val="23"/>
                          </w:rPr>
                          <w:t xml:space="preserve">: centolla/centollón, erizos, algas y pescados. Lineamiento Pesca y Acuicultura: Aumentar el conocimiento del recurso pesquero y propender a su desarrollo en forma sustentable; fomentar y diversificar la </w:t>
                        </w:r>
                        <w:r>
                          <w:rPr>
                            <w:rFonts w:ascii="TTE1D653F0t00" w:hAnsi="TTE1D653F0t00" w:cs="TTE1D653F0t00"/>
                            <w:sz w:val="23"/>
                            <w:szCs w:val="23"/>
                          </w:rPr>
                          <w:t xml:space="preserve">actividad acuícola, fortaleciendo el acceso a aquellas áreas potencialmente explotables, cautelando el buen uso de los recursos naturales regionales. </w:t>
                        </w:r>
                      </w:p>
                    </w:tc>
                  </w:tr>
                  <w:tr w:rsidR="00000000">
                    <w:tblPrEx>
                      <w:tblCellMar>
                        <w:top w:w="0" w:type="dxa"/>
                        <w:bottom w:w="0" w:type="dxa"/>
                      </w:tblCellMar>
                    </w:tblPrEx>
                    <w:trPr>
                      <w:wAfter w:w="421" w:type="dxa"/>
                      <w:trHeight w:val="1003"/>
                    </w:trPr>
                    <w:tc>
                      <w:tcPr>
                        <w:tcW w:w="400" w:type="dxa"/>
                      </w:tcPr>
                      <w:p w:rsidR="00000000" w:rsidRDefault="001245BD">
                        <w:pPr>
                          <w:pStyle w:val="Default"/>
                          <w:rPr>
                            <w:rFonts w:cstheme="minorBidi"/>
                            <w:sz w:val="23"/>
                            <w:szCs w:val="23"/>
                          </w:rPr>
                        </w:pPr>
                        <w:r>
                          <w:rPr>
                            <w:rFonts w:cstheme="minorBidi"/>
                            <w:sz w:val="23"/>
                            <w:szCs w:val="23"/>
                          </w:rPr>
                          <w:t>•</w:t>
                        </w:r>
                        <w:r>
                          <w:rPr>
                            <w:rFonts w:cstheme="minorBidi"/>
                            <w:sz w:val="23"/>
                            <w:szCs w:val="23"/>
                          </w:rPr>
                          <w:t xml:space="preserve"> </w:t>
                        </w:r>
                      </w:p>
                    </w:tc>
                    <w:tc>
                      <w:tcPr>
                        <w:tcW w:w="8752" w:type="dxa"/>
                      </w:tcPr>
                      <w:p w:rsidR="00000000" w:rsidRDefault="001245BD">
                        <w:pPr>
                          <w:pStyle w:val="Default"/>
                          <w:rPr>
                            <w:rFonts w:ascii="TTE1D653F0t00" w:hAnsi="TTE1D653F0t00" w:cs="TTE1D653F0t00"/>
                            <w:sz w:val="23"/>
                            <w:szCs w:val="23"/>
                          </w:rPr>
                        </w:pPr>
                        <w:r>
                          <w:rPr>
                            <w:sz w:val="23"/>
                            <w:szCs w:val="23"/>
                          </w:rPr>
                          <w:t>Acuícola</w:t>
                        </w:r>
                        <w:r>
                          <w:rPr>
                            <w:rFonts w:ascii="TTE1D653F0t00" w:hAnsi="TTE1D653F0t00" w:cs="TTE1D653F0t00"/>
                            <w:sz w:val="23"/>
                            <w:szCs w:val="23"/>
                          </w:rPr>
                          <w:t>: cultivo de mitílidos, cultivo de salmones, cultivo de halibut, piscicultura hatchery y serv</w:t>
                        </w:r>
                        <w:r>
                          <w:rPr>
                            <w:rFonts w:ascii="TTE1D653F0t00" w:hAnsi="TTE1D653F0t00" w:cs="TTE1D653F0t00"/>
                            <w:sz w:val="23"/>
                            <w:szCs w:val="23"/>
                          </w:rPr>
                          <w:t>icios de apoyo a la operación. Lineamiento Pesca y Acuicultura: Aumentar el conocimiento del recurso pesquero y propender a su desarrollo en forma sustentable; fomentar y diversificar la actividad acuícola, fortaleciendo el acceso a aquellas áreas potencia</w:t>
                        </w:r>
                        <w:r>
                          <w:rPr>
                            <w:rFonts w:ascii="TTE1D653F0t00" w:hAnsi="TTE1D653F0t00" w:cs="TTE1D653F0t00"/>
                            <w:sz w:val="23"/>
                            <w:szCs w:val="23"/>
                          </w:rPr>
                          <w:t xml:space="preserve">lmente explotables, cautelando el buen uso de los recursos naturales regionales. </w:t>
                        </w:r>
                      </w:p>
                    </w:tc>
                  </w:tr>
                  <w:tr w:rsidR="00000000">
                    <w:tblPrEx>
                      <w:tblCellMar>
                        <w:top w:w="0" w:type="dxa"/>
                        <w:bottom w:w="0" w:type="dxa"/>
                      </w:tblCellMar>
                    </w:tblPrEx>
                    <w:trPr>
                      <w:wAfter w:w="421" w:type="dxa"/>
                      <w:trHeight w:val="718"/>
                    </w:trPr>
                    <w:tc>
                      <w:tcPr>
                        <w:tcW w:w="400" w:type="dxa"/>
                      </w:tcPr>
                      <w:p w:rsidR="00000000" w:rsidRDefault="001245BD">
                        <w:pPr>
                          <w:pStyle w:val="Default"/>
                          <w:rPr>
                            <w:rFonts w:cstheme="minorBidi"/>
                            <w:sz w:val="23"/>
                            <w:szCs w:val="23"/>
                          </w:rPr>
                        </w:pPr>
                        <w:r>
                          <w:rPr>
                            <w:rFonts w:cstheme="minorBidi"/>
                            <w:sz w:val="23"/>
                            <w:szCs w:val="23"/>
                          </w:rPr>
                          <w:t>•</w:t>
                        </w:r>
                        <w:r>
                          <w:rPr>
                            <w:rFonts w:cstheme="minorBidi"/>
                            <w:sz w:val="23"/>
                            <w:szCs w:val="23"/>
                          </w:rPr>
                          <w:t xml:space="preserve"> </w:t>
                        </w:r>
                      </w:p>
                    </w:tc>
                    <w:tc>
                      <w:tcPr>
                        <w:tcW w:w="8752" w:type="dxa"/>
                        <w:vAlign w:val="center"/>
                      </w:tcPr>
                      <w:p w:rsidR="00000000" w:rsidRDefault="001245BD">
                        <w:pPr>
                          <w:pStyle w:val="Default"/>
                          <w:rPr>
                            <w:rFonts w:ascii="TTE1D653F0t00" w:hAnsi="TTE1D653F0t00" w:cs="TTE1D653F0t00"/>
                            <w:sz w:val="23"/>
                            <w:szCs w:val="23"/>
                          </w:rPr>
                        </w:pPr>
                        <w:r>
                          <w:rPr>
                            <w:sz w:val="23"/>
                            <w:szCs w:val="23"/>
                          </w:rPr>
                          <w:t>Marítimo-Portuario-Antártico</w:t>
                        </w:r>
                        <w:r>
                          <w:rPr>
                            <w:rFonts w:ascii="TTE1D653F0t00" w:hAnsi="TTE1D653F0t00" w:cs="TTE1D653F0t00"/>
                            <w:sz w:val="23"/>
                            <w:szCs w:val="23"/>
                          </w:rPr>
                          <w:t>: servicios logísticos a cruceros de turismo, servicios logísticos a expediciones científicas antárticas y polo científico temática antá</w:t>
                        </w:r>
                        <w:r>
                          <w:rPr>
                            <w:rFonts w:ascii="TTE1D653F0t00" w:hAnsi="TTE1D653F0t00" w:cs="TTE1D653F0t00"/>
                            <w:sz w:val="23"/>
                            <w:szCs w:val="23"/>
                          </w:rPr>
                          <w:t xml:space="preserve">rtica. Lineamiento Marítimo-Portuario: Conducir, difundir y promover acciones coordinadas tendientes a crear una oferta integral de servicios marítimo-portuarios-antárticos. </w:t>
                        </w:r>
                      </w:p>
                    </w:tc>
                  </w:tr>
                  <w:tr w:rsidR="00000000">
                    <w:tblPrEx>
                      <w:tblCellMar>
                        <w:top w:w="0" w:type="dxa"/>
                        <w:bottom w:w="0" w:type="dxa"/>
                      </w:tblCellMar>
                    </w:tblPrEx>
                    <w:trPr>
                      <w:wAfter w:w="421" w:type="dxa"/>
                      <w:trHeight w:val="1147"/>
                    </w:trPr>
                    <w:tc>
                      <w:tcPr>
                        <w:tcW w:w="400" w:type="dxa"/>
                      </w:tcPr>
                      <w:p w:rsidR="00000000" w:rsidRDefault="001245BD">
                        <w:pPr>
                          <w:pStyle w:val="Default"/>
                          <w:rPr>
                            <w:rFonts w:cstheme="minorBidi"/>
                            <w:sz w:val="23"/>
                            <w:szCs w:val="23"/>
                          </w:rPr>
                        </w:pPr>
                        <w:r>
                          <w:rPr>
                            <w:rFonts w:cstheme="minorBidi"/>
                            <w:sz w:val="23"/>
                            <w:szCs w:val="23"/>
                          </w:rPr>
                          <w:t>•</w:t>
                        </w:r>
                        <w:r>
                          <w:rPr>
                            <w:rFonts w:cstheme="minorBidi"/>
                            <w:sz w:val="23"/>
                            <w:szCs w:val="23"/>
                          </w:rPr>
                          <w:t xml:space="preserve"> </w:t>
                        </w:r>
                      </w:p>
                    </w:tc>
                    <w:tc>
                      <w:tcPr>
                        <w:tcW w:w="8752" w:type="dxa"/>
                      </w:tcPr>
                      <w:p w:rsidR="00000000" w:rsidRDefault="001245BD">
                        <w:pPr>
                          <w:pStyle w:val="Default"/>
                          <w:rPr>
                            <w:rFonts w:ascii="TTE1D653F0t00" w:hAnsi="TTE1D653F0t00" w:cs="TTE1D653F0t00"/>
                            <w:sz w:val="23"/>
                            <w:szCs w:val="23"/>
                          </w:rPr>
                        </w:pPr>
                        <w:r>
                          <w:rPr>
                            <w:sz w:val="23"/>
                            <w:szCs w:val="23"/>
                          </w:rPr>
                          <w:t xml:space="preserve">Pecuario: </w:t>
                        </w:r>
                        <w:r>
                          <w:rPr>
                            <w:rFonts w:ascii="TTE1D653F0t00" w:hAnsi="TTE1D653F0t00" w:cs="TTE1D653F0t00"/>
                            <w:sz w:val="23"/>
                            <w:szCs w:val="23"/>
                          </w:rPr>
                          <w:t>producción de carne ovina, procesamiento de carne ovina (industrial</w:t>
                        </w:r>
                        <w:r>
                          <w:rPr>
                            <w:rFonts w:ascii="TTE1D653F0t00" w:hAnsi="TTE1D653F0t00" w:cs="TTE1D653F0t00"/>
                            <w:sz w:val="23"/>
                            <w:szCs w:val="23"/>
                          </w:rPr>
                          <w:t>), genética ovina, producción de lana ovina, venta de ternero en pie y procesamiento de carne bovina (industrial). Lineamiento Silvoagropecuario: Modernización del sector, velando por la protección y recuperación de las áreas de pastoreo y la pureza sanita</w:t>
                        </w:r>
                        <w:r>
                          <w:rPr>
                            <w:rFonts w:ascii="TTE1D653F0t00" w:hAnsi="TTE1D653F0t00" w:cs="TTE1D653F0t00"/>
                            <w:sz w:val="23"/>
                            <w:szCs w:val="23"/>
                          </w:rPr>
                          <w:t xml:space="preserve">ria regional. Tender a un manejo sustentable de los recursos forestales generando diversidad de productos de alto valor, y desarrollar la actividad horto-frutícola. </w:t>
                        </w:r>
                      </w:p>
                    </w:tc>
                  </w:tr>
                  <w:tr w:rsidR="00000000">
                    <w:tblPrEx>
                      <w:tblCellMar>
                        <w:top w:w="0" w:type="dxa"/>
                        <w:bottom w:w="0" w:type="dxa"/>
                      </w:tblCellMar>
                    </w:tblPrEx>
                    <w:trPr>
                      <w:wAfter w:w="421" w:type="dxa"/>
                      <w:trHeight w:val="1003"/>
                    </w:trPr>
                    <w:tc>
                      <w:tcPr>
                        <w:tcW w:w="400" w:type="dxa"/>
                      </w:tcPr>
                      <w:p w:rsidR="00000000" w:rsidRDefault="001245BD">
                        <w:pPr>
                          <w:pStyle w:val="Default"/>
                          <w:rPr>
                            <w:rFonts w:cstheme="minorBidi"/>
                            <w:sz w:val="23"/>
                            <w:szCs w:val="23"/>
                          </w:rPr>
                        </w:pPr>
                        <w:r>
                          <w:rPr>
                            <w:rFonts w:cstheme="minorBidi"/>
                            <w:sz w:val="23"/>
                            <w:szCs w:val="23"/>
                          </w:rPr>
                          <w:t>•</w:t>
                        </w:r>
                        <w:r>
                          <w:rPr>
                            <w:rFonts w:cstheme="minorBidi"/>
                            <w:sz w:val="23"/>
                            <w:szCs w:val="23"/>
                          </w:rPr>
                          <w:t xml:space="preserve"> </w:t>
                        </w:r>
                      </w:p>
                    </w:tc>
                    <w:tc>
                      <w:tcPr>
                        <w:tcW w:w="8752" w:type="dxa"/>
                      </w:tcPr>
                      <w:p w:rsidR="00000000" w:rsidRDefault="001245BD">
                        <w:pPr>
                          <w:pStyle w:val="Default"/>
                          <w:rPr>
                            <w:rFonts w:ascii="TTE1D653F0t00" w:hAnsi="TTE1D653F0t00" w:cs="TTE1D653F0t00"/>
                            <w:sz w:val="23"/>
                            <w:szCs w:val="23"/>
                          </w:rPr>
                        </w:pPr>
                        <w:r>
                          <w:rPr>
                            <w:sz w:val="23"/>
                            <w:szCs w:val="23"/>
                          </w:rPr>
                          <w:t>Forestal</w:t>
                        </w:r>
                        <w:r>
                          <w:rPr>
                            <w:rFonts w:ascii="TTE1D653F0t00" w:hAnsi="TTE1D653F0t00" w:cs="TTE1D653F0t00"/>
                            <w:sz w:val="23"/>
                            <w:szCs w:val="23"/>
                          </w:rPr>
                          <w:t>: explotación forestal, partes y piezas de muebles, dendroenergí</w:t>
                        </w:r>
                        <w:r>
                          <w:rPr>
                            <w:rFonts w:ascii="TTE1D653F0t00" w:hAnsi="TTE1D653F0t00" w:cs="TTE1D653F0t00"/>
                            <w:sz w:val="23"/>
                            <w:szCs w:val="23"/>
                          </w:rPr>
                          <w:t>a y venta de bonos de carbono. Lineamiento Silvoagropecuario: Modernización del sector, velando por la protección y recuperación de las áreas de pastoreo y la pureza sanitaria regional. Tender a un manejo sustentable de los recursos forestales generando di</w:t>
                        </w:r>
                        <w:r>
                          <w:rPr>
                            <w:rFonts w:ascii="TTE1D653F0t00" w:hAnsi="TTE1D653F0t00" w:cs="TTE1D653F0t00"/>
                            <w:sz w:val="23"/>
                            <w:szCs w:val="23"/>
                          </w:rPr>
                          <w:t xml:space="preserve">versidad de productos de alto valor, y desarrollar la actividad horto-frutícola </w:t>
                        </w:r>
                      </w:p>
                    </w:tc>
                  </w:tr>
                  <w:tr w:rsidR="00000000">
                    <w:tblPrEx>
                      <w:tblCellMar>
                        <w:top w:w="0" w:type="dxa"/>
                        <w:bottom w:w="0" w:type="dxa"/>
                      </w:tblCellMar>
                    </w:tblPrEx>
                    <w:trPr>
                      <w:wAfter w:w="421" w:type="dxa"/>
                      <w:trHeight w:val="761"/>
                    </w:trPr>
                    <w:tc>
                      <w:tcPr>
                        <w:tcW w:w="400" w:type="dxa"/>
                      </w:tcPr>
                      <w:p w:rsidR="00000000" w:rsidRDefault="001245BD">
                        <w:pPr>
                          <w:pStyle w:val="Default"/>
                          <w:rPr>
                            <w:rFonts w:cstheme="minorBidi"/>
                            <w:sz w:val="23"/>
                            <w:szCs w:val="23"/>
                          </w:rPr>
                        </w:pPr>
                        <w:r>
                          <w:rPr>
                            <w:rFonts w:cstheme="minorBidi"/>
                            <w:sz w:val="23"/>
                            <w:szCs w:val="23"/>
                          </w:rPr>
                          <w:t>•</w:t>
                        </w:r>
                        <w:r>
                          <w:rPr>
                            <w:rFonts w:cstheme="minorBidi"/>
                            <w:sz w:val="23"/>
                            <w:szCs w:val="23"/>
                          </w:rPr>
                          <w:t xml:space="preserve"> </w:t>
                        </w:r>
                      </w:p>
                    </w:tc>
                    <w:tc>
                      <w:tcPr>
                        <w:tcW w:w="8752" w:type="dxa"/>
                        <w:vAlign w:val="bottom"/>
                      </w:tcPr>
                      <w:p w:rsidR="00000000" w:rsidRDefault="001245BD">
                        <w:pPr>
                          <w:pStyle w:val="Default"/>
                          <w:rPr>
                            <w:rFonts w:ascii="TTE1D653F0t00" w:hAnsi="TTE1D653F0t00" w:cs="TTE1D653F0t00"/>
                            <w:sz w:val="23"/>
                            <w:szCs w:val="23"/>
                          </w:rPr>
                        </w:pPr>
                        <w:r>
                          <w:rPr>
                            <w:sz w:val="23"/>
                            <w:szCs w:val="23"/>
                          </w:rPr>
                          <w:t xml:space="preserve">Hortofrutícola: </w:t>
                        </w:r>
                        <w:r>
                          <w:rPr>
                            <w:rFonts w:ascii="TTE1D653F0t00" w:hAnsi="TTE1D653F0t00" w:cs="TTE1D653F0t00"/>
                            <w:sz w:val="23"/>
                            <w:szCs w:val="23"/>
                          </w:rPr>
                          <w:t>flores, ruibarbo, berries y hortalizas. Lineamiento Silvoagropecuario: Modernización del sector, velando por la protección y recuperación de las áreas de p</w:t>
                        </w:r>
                        <w:r>
                          <w:rPr>
                            <w:rFonts w:ascii="TTE1D653F0t00" w:hAnsi="TTE1D653F0t00" w:cs="TTE1D653F0t00"/>
                            <w:sz w:val="23"/>
                            <w:szCs w:val="23"/>
                          </w:rPr>
                          <w:t xml:space="preserve">astoreo y la pureza sanitaria regional. Tender a un manejo sustentable de los recursos forestales generando diversidad de productos de alto valor, y desarrollar la actividad horto-frutícola </w:t>
                        </w:r>
                      </w:p>
                    </w:tc>
                  </w:tr>
                </w:tbl>
              </w:txbxContent>
            </v:textbox>
            <w10:wrap type="through" anchorx="page" anchory="page"/>
          </v:shape>
        </w:pict>
      </w:r>
    </w:p>
    <w:p w:rsidR="00000000" w:rsidRDefault="007433DA">
      <w:pPr>
        <w:pStyle w:val="Default"/>
        <w:pageBreakBefore/>
        <w:framePr w:w="1488" w:wrap="auto" w:vAnchor="page" w:hAnchor="page" w:x="1683" w:y="1404"/>
        <w:spacing w:after="3600"/>
        <w:rPr>
          <w:rFonts w:cstheme="minorBidi"/>
          <w:color w:val="auto"/>
        </w:rPr>
      </w:pPr>
      <w:r>
        <w:rPr>
          <w:rFonts w:cstheme="minorBidi"/>
          <w:noProof/>
          <w:color w:val="auto"/>
        </w:rPr>
        <w:lastRenderedPageBreak/>
        <w:drawing>
          <wp:inline distT="0" distB="0" distL="0" distR="0">
            <wp:extent cx="447675" cy="561975"/>
            <wp:effectExtent l="1905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Default"/>
        <w:rPr>
          <w:rFonts w:cstheme="minorBidi"/>
          <w:color w:val="auto"/>
        </w:rPr>
      </w:pPr>
    </w:p>
    <w:p w:rsidR="00000000" w:rsidRDefault="001245BD">
      <w:pPr>
        <w:pStyle w:val="CM34"/>
        <w:spacing w:after="845" w:line="538" w:lineRule="atLeast"/>
        <w:jc w:val="center"/>
        <w:rPr>
          <w:sz w:val="46"/>
          <w:szCs w:val="46"/>
        </w:rPr>
      </w:pPr>
      <w:r>
        <w:rPr>
          <w:sz w:val="46"/>
          <w:szCs w:val="46"/>
        </w:rPr>
        <w:t xml:space="preserve">ANEXO 4 </w:t>
      </w:r>
    </w:p>
    <w:p w:rsidR="00000000" w:rsidRDefault="001245BD">
      <w:pPr>
        <w:pStyle w:val="CM28"/>
        <w:jc w:val="center"/>
        <w:rPr>
          <w:rFonts w:ascii="Helvetica" w:hAnsi="Helvetica" w:cs="Helvetica"/>
          <w:sz w:val="46"/>
          <w:szCs w:val="46"/>
        </w:rPr>
      </w:pPr>
      <w:r>
        <w:rPr>
          <w:rFonts w:ascii="Helvetica" w:hAnsi="Helvetica" w:cs="Helvetica"/>
          <w:b/>
          <w:bCs/>
          <w:sz w:val="46"/>
          <w:szCs w:val="46"/>
        </w:rPr>
        <w:t xml:space="preserve">REGLAMENTO PARA LA ELEGIBILIDAD DE INSTITUCIONES RECEPTORAS </w:t>
      </w:r>
    </w:p>
    <w:p w:rsidR="00000000" w:rsidRDefault="001245BD">
      <w:pPr>
        <w:pStyle w:val="CM2"/>
        <w:jc w:val="center"/>
        <w:rPr>
          <w:rFonts w:ascii="Helvetica" w:hAnsi="Helvetica" w:cs="Helvetica"/>
          <w:sz w:val="27"/>
          <w:szCs w:val="27"/>
        </w:rPr>
      </w:pPr>
      <w:r>
        <w:rPr>
          <w:rFonts w:ascii="Helvetica" w:hAnsi="Helvetica" w:cs="Helvetica"/>
          <w:b/>
          <w:bCs/>
          <w:sz w:val="27"/>
          <w:szCs w:val="27"/>
        </w:rPr>
        <w:t xml:space="preserve">DECRETO N°68, MINISTERIO DE ECONOMÍA </w:t>
      </w:r>
    </w:p>
    <w:p w:rsidR="00000000" w:rsidRDefault="007433DA">
      <w:pPr>
        <w:pStyle w:val="Default"/>
        <w:pageBreakBefore/>
        <w:framePr w:w="8427" w:wrap="auto" w:vAnchor="page" w:hAnchor="page" w:x="1683" w:y="1404"/>
        <w:rPr>
          <w:rFonts w:ascii="Helvetica" w:hAnsi="Helvetica" w:cs="Helvetica"/>
          <w:color w:val="auto"/>
          <w:sz w:val="27"/>
          <w:szCs w:val="27"/>
        </w:rPr>
      </w:pPr>
      <w:r>
        <w:rPr>
          <w:rFonts w:ascii="Helvetica" w:hAnsi="Helvetica" w:cs="Helvetica"/>
          <w:noProof/>
          <w:color w:val="auto"/>
          <w:sz w:val="27"/>
          <w:szCs w:val="27"/>
        </w:rPr>
        <w:lastRenderedPageBreak/>
        <w:drawing>
          <wp:inline distT="0" distB="0" distL="0" distR="0">
            <wp:extent cx="4838700" cy="8296275"/>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srcRect/>
                    <a:stretch>
                      <a:fillRect/>
                    </a:stretch>
                  </pic:blipFill>
                  <pic:spPr bwMode="auto">
                    <a:xfrm>
                      <a:off x="0" y="0"/>
                      <a:ext cx="4838700" cy="8296275"/>
                    </a:xfrm>
                    <a:prstGeom prst="rect">
                      <a:avLst/>
                    </a:prstGeom>
                    <a:noFill/>
                    <a:ln w="9525">
                      <a:noFill/>
                      <a:miter lim="800000"/>
                      <a:headEnd/>
                      <a:tailEnd/>
                    </a:ln>
                  </pic:spPr>
                </pic:pic>
              </a:graphicData>
            </a:graphic>
          </wp:inline>
        </w:drawing>
      </w:r>
    </w:p>
    <w:p w:rsidR="00000000" w:rsidRDefault="007433DA">
      <w:pPr>
        <w:pStyle w:val="Default"/>
        <w:pageBreakBefore/>
        <w:framePr w:w="8806" w:wrap="auto" w:vAnchor="page" w:hAnchor="page" w:x="1683" w:y="1404"/>
        <w:rPr>
          <w:rFonts w:ascii="Helvetica" w:hAnsi="Helvetica" w:cs="Helvetica"/>
          <w:color w:val="auto"/>
          <w:sz w:val="27"/>
          <w:szCs w:val="27"/>
        </w:rPr>
      </w:pPr>
      <w:r>
        <w:rPr>
          <w:rFonts w:ascii="Helvetica" w:hAnsi="Helvetica" w:cs="Helvetica"/>
          <w:noProof/>
          <w:color w:val="auto"/>
          <w:sz w:val="27"/>
          <w:szCs w:val="27"/>
        </w:rPr>
        <w:lastRenderedPageBreak/>
        <w:drawing>
          <wp:inline distT="0" distB="0" distL="0" distR="0">
            <wp:extent cx="5076825" cy="8201025"/>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srcRect/>
                    <a:stretch>
                      <a:fillRect/>
                    </a:stretch>
                  </pic:blipFill>
                  <pic:spPr bwMode="auto">
                    <a:xfrm>
                      <a:off x="0" y="0"/>
                      <a:ext cx="5076825" cy="8201025"/>
                    </a:xfrm>
                    <a:prstGeom prst="rect">
                      <a:avLst/>
                    </a:prstGeom>
                    <a:noFill/>
                    <a:ln w="9525">
                      <a:noFill/>
                      <a:miter lim="800000"/>
                      <a:headEnd/>
                      <a:tailEnd/>
                    </a:ln>
                  </pic:spPr>
                </pic:pic>
              </a:graphicData>
            </a:graphic>
          </wp:inline>
        </w:drawing>
      </w:r>
    </w:p>
    <w:p w:rsidR="00000000" w:rsidRDefault="007433DA">
      <w:pPr>
        <w:pStyle w:val="Default"/>
        <w:pageBreakBefore/>
        <w:framePr w:w="1488" w:wrap="auto" w:vAnchor="page" w:hAnchor="page" w:x="1683" w:y="1404"/>
        <w:spacing w:after="760"/>
        <w:rPr>
          <w:rFonts w:ascii="Helvetica" w:hAnsi="Helvetica" w:cs="Helvetica"/>
          <w:color w:val="auto"/>
          <w:sz w:val="27"/>
          <w:szCs w:val="27"/>
        </w:rPr>
      </w:pPr>
      <w:r>
        <w:rPr>
          <w:rFonts w:ascii="Helvetica" w:hAnsi="Helvetica" w:cs="Helvetica"/>
          <w:noProof/>
          <w:color w:val="auto"/>
          <w:sz w:val="27"/>
          <w:szCs w:val="27"/>
        </w:rPr>
        <w:lastRenderedPageBreak/>
        <w:drawing>
          <wp:inline distT="0" distB="0" distL="0" distR="0">
            <wp:extent cx="447675" cy="561975"/>
            <wp:effectExtent l="1905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7433DA">
      <w:pPr>
        <w:pStyle w:val="Default"/>
        <w:framePr w:w="8220" w:wrap="auto" w:vAnchor="page" w:hAnchor="page" w:x="2540" w:y="3036"/>
        <w:rPr>
          <w:rFonts w:ascii="Helvetica" w:hAnsi="Helvetica" w:cs="Helvetica"/>
          <w:color w:val="auto"/>
          <w:sz w:val="27"/>
          <w:szCs w:val="27"/>
        </w:rPr>
      </w:pPr>
      <w:r>
        <w:rPr>
          <w:rFonts w:ascii="Helvetica" w:hAnsi="Helvetica" w:cs="Helvetica"/>
          <w:noProof/>
          <w:color w:val="auto"/>
          <w:sz w:val="27"/>
          <w:szCs w:val="27"/>
        </w:rPr>
        <w:drawing>
          <wp:inline distT="0" distB="0" distL="0" distR="0">
            <wp:extent cx="4714875" cy="6677025"/>
            <wp:effectExtent l="19050" t="0" r="9525"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srcRect/>
                    <a:stretch>
                      <a:fillRect/>
                    </a:stretch>
                  </pic:blipFill>
                  <pic:spPr bwMode="auto">
                    <a:xfrm>
                      <a:off x="0" y="0"/>
                      <a:ext cx="4714875" cy="6677025"/>
                    </a:xfrm>
                    <a:prstGeom prst="rect">
                      <a:avLst/>
                    </a:prstGeom>
                    <a:noFill/>
                    <a:ln w="9525">
                      <a:noFill/>
                      <a:miter lim="800000"/>
                      <a:headEnd/>
                      <a:tailEnd/>
                    </a:ln>
                  </pic:spPr>
                </pic:pic>
              </a:graphicData>
            </a:graphic>
          </wp:inline>
        </w:drawing>
      </w:r>
    </w:p>
    <w:p w:rsidR="00000000" w:rsidRDefault="007433DA">
      <w:pPr>
        <w:pStyle w:val="Default"/>
        <w:pageBreakBefore/>
        <w:framePr w:w="9046" w:wrap="auto" w:vAnchor="page" w:hAnchor="page" w:x="1683" w:y="1404"/>
        <w:rPr>
          <w:rFonts w:ascii="Helvetica" w:hAnsi="Helvetica" w:cs="Helvetica"/>
          <w:color w:val="auto"/>
          <w:sz w:val="27"/>
          <w:szCs w:val="27"/>
        </w:rPr>
      </w:pPr>
      <w:r>
        <w:rPr>
          <w:rFonts w:ascii="Helvetica" w:hAnsi="Helvetica" w:cs="Helvetica"/>
          <w:noProof/>
          <w:color w:val="auto"/>
          <w:sz w:val="27"/>
          <w:szCs w:val="27"/>
        </w:rPr>
        <w:lastRenderedPageBreak/>
        <w:drawing>
          <wp:inline distT="0" distB="0" distL="0" distR="0">
            <wp:extent cx="5229225" cy="7620000"/>
            <wp:effectExtent l="1905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srcRect/>
                    <a:stretch>
                      <a:fillRect/>
                    </a:stretch>
                  </pic:blipFill>
                  <pic:spPr bwMode="auto">
                    <a:xfrm>
                      <a:off x="0" y="0"/>
                      <a:ext cx="5229225" cy="7620000"/>
                    </a:xfrm>
                    <a:prstGeom prst="rect">
                      <a:avLst/>
                    </a:prstGeom>
                    <a:noFill/>
                    <a:ln w="9525">
                      <a:noFill/>
                      <a:miter lim="800000"/>
                      <a:headEnd/>
                      <a:tailEnd/>
                    </a:ln>
                  </pic:spPr>
                </pic:pic>
              </a:graphicData>
            </a:graphic>
          </wp:inline>
        </w:drawing>
      </w:r>
    </w:p>
    <w:p w:rsidR="00000000" w:rsidRDefault="007433DA">
      <w:pPr>
        <w:pStyle w:val="Default"/>
        <w:pageBreakBefore/>
        <w:framePr w:w="9034" w:wrap="auto" w:vAnchor="page" w:hAnchor="page" w:x="1683" w:y="1404"/>
        <w:rPr>
          <w:rFonts w:ascii="Helvetica" w:hAnsi="Helvetica" w:cs="Helvetica"/>
          <w:color w:val="auto"/>
          <w:sz w:val="27"/>
          <w:szCs w:val="27"/>
        </w:rPr>
      </w:pPr>
      <w:r>
        <w:rPr>
          <w:rFonts w:ascii="Helvetica" w:hAnsi="Helvetica" w:cs="Helvetica"/>
          <w:noProof/>
          <w:color w:val="auto"/>
          <w:sz w:val="27"/>
          <w:szCs w:val="27"/>
        </w:rPr>
        <w:lastRenderedPageBreak/>
        <w:drawing>
          <wp:inline distT="0" distB="0" distL="0" distR="0">
            <wp:extent cx="5229225" cy="7134225"/>
            <wp:effectExtent l="1905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srcRect/>
                    <a:stretch>
                      <a:fillRect/>
                    </a:stretch>
                  </pic:blipFill>
                  <pic:spPr bwMode="auto">
                    <a:xfrm>
                      <a:off x="0" y="0"/>
                      <a:ext cx="5229225" cy="7134225"/>
                    </a:xfrm>
                    <a:prstGeom prst="rect">
                      <a:avLst/>
                    </a:prstGeom>
                    <a:noFill/>
                    <a:ln w="9525">
                      <a:noFill/>
                      <a:miter lim="800000"/>
                      <a:headEnd/>
                      <a:tailEnd/>
                    </a:ln>
                  </pic:spPr>
                </pic:pic>
              </a:graphicData>
            </a:graphic>
          </wp:inline>
        </w:drawing>
      </w:r>
    </w:p>
    <w:p w:rsidR="00000000" w:rsidRDefault="007433DA">
      <w:pPr>
        <w:pStyle w:val="Default"/>
        <w:pageBreakBefore/>
        <w:framePr w:w="9046" w:wrap="auto" w:vAnchor="page" w:hAnchor="page" w:x="1683" w:y="1404"/>
        <w:rPr>
          <w:rFonts w:ascii="Helvetica" w:hAnsi="Helvetica" w:cs="Helvetica"/>
          <w:color w:val="auto"/>
          <w:sz w:val="27"/>
          <w:szCs w:val="27"/>
        </w:rPr>
      </w:pPr>
      <w:r>
        <w:rPr>
          <w:rFonts w:ascii="Helvetica" w:hAnsi="Helvetica" w:cs="Helvetica"/>
          <w:noProof/>
          <w:color w:val="auto"/>
          <w:sz w:val="27"/>
          <w:szCs w:val="27"/>
        </w:rPr>
        <w:lastRenderedPageBreak/>
        <w:drawing>
          <wp:inline distT="0" distB="0" distL="0" distR="0">
            <wp:extent cx="5229225" cy="7400925"/>
            <wp:effectExtent l="1905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srcRect/>
                    <a:stretch>
                      <a:fillRect/>
                    </a:stretch>
                  </pic:blipFill>
                  <pic:spPr bwMode="auto">
                    <a:xfrm>
                      <a:off x="0" y="0"/>
                      <a:ext cx="5229225" cy="7400925"/>
                    </a:xfrm>
                    <a:prstGeom prst="rect">
                      <a:avLst/>
                    </a:prstGeom>
                    <a:noFill/>
                    <a:ln w="9525">
                      <a:noFill/>
                      <a:miter lim="800000"/>
                      <a:headEnd/>
                      <a:tailEnd/>
                    </a:ln>
                  </pic:spPr>
                </pic:pic>
              </a:graphicData>
            </a:graphic>
          </wp:inline>
        </w:drawing>
      </w:r>
    </w:p>
    <w:p w:rsidR="00000000" w:rsidRDefault="007433DA">
      <w:pPr>
        <w:pStyle w:val="Default"/>
        <w:pageBreakBefore/>
        <w:framePr w:w="1488" w:wrap="auto" w:vAnchor="page" w:hAnchor="page" w:x="1683" w:y="1404"/>
        <w:spacing w:after="200"/>
        <w:rPr>
          <w:rFonts w:ascii="Helvetica" w:hAnsi="Helvetica" w:cs="Helvetica"/>
          <w:color w:val="auto"/>
          <w:sz w:val="27"/>
          <w:szCs w:val="27"/>
        </w:rPr>
      </w:pPr>
      <w:r>
        <w:rPr>
          <w:rFonts w:ascii="Helvetica" w:hAnsi="Helvetica" w:cs="Helvetica"/>
          <w:noProof/>
          <w:color w:val="auto"/>
          <w:sz w:val="27"/>
          <w:szCs w:val="27"/>
        </w:rPr>
        <w:lastRenderedPageBreak/>
        <w:drawing>
          <wp:inline distT="0" distB="0" distL="0" distR="0">
            <wp:extent cx="447675" cy="561975"/>
            <wp:effectExtent l="1905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Default"/>
        <w:rPr>
          <w:rFonts w:cstheme="minorBidi"/>
          <w:color w:val="auto"/>
        </w:rPr>
      </w:pPr>
    </w:p>
    <w:p w:rsidR="00000000" w:rsidRDefault="001245BD">
      <w:pPr>
        <w:pStyle w:val="CM41"/>
        <w:spacing w:after="330"/>
        <w:jc w:val="center"/>
        <w:rPr>
          <w:sz w:val="46"/>
          <w:szCs w:val="46"/>
        </w:rPr>
      </w:pPr>
      <w:r>
        <w:rPr>
          <w:sz w:val="46"/>
          <w:szCs w:val="46"/>
        </w:rPr>
        <w:t xml:space="preserve">ANEXO 5 </w:t>
      </w:r>
    </w:p>
    <w:p w:rsidR="00000000" w:rsidRDefault="001245BD">
      <w:pPr>
        <w:pStyle w:val="CM37"/>
        <w:spacing w:after="277"/>
        <w:jc w:val="center"/>
        <w:rPr>
          <w:rFonts w:ascii="TTE1D653F0t00" w:hAnsi="TTE1D653F0t00" w:cs="TTE1D653F0t00"/>
          <w:sz w:val="23"/>
          <w:szCs w:val="23"/>
        </w:rPr>
      </w:pPr>
      <w:r>
        <w:rPr>
          <w:rFonts w:ascii="TTE1D653F0t00" w:hAnsi="TTE1D653F0t00" w:cs="TTE1D653F0t00"/>
          <w:sz w:val="23"/>
          <w:szCs w:val="23"/>
        </w:rPr>
        <w:t xml:space="preserve">Texto resumido Resolución 277, SUBDERE referida a destinos del Programa FIC 2012 </w:t>
      </w:r>
    </w:p>
    <w:p w:rsidR="00000000" w:rsidRDefault="001245BD">
      <w:pPr>
        <w:pStyle w:val="CM41"/>
        <w:spacing w:after="330" w:line="328" w:lineRule="atLeast"/>
        <w:ind w:left="350" w:hanging="350"/>
        <w:jc w:val="both"/>
        <w:rPr>
          <w:rFonts w:ascii="TTE1D653F0t00" w:hAnsi="TTE1D653F0t00" w:cs="TTE1D653F0t00"/>
          <w:sz w:val="23"/>
          <w:szCs w:val="23"/>
        </w:rPr>
      </w:pPr>
      <w:r>
        <w:rPr>
          <w:rFonts w:cs="TTE23EEF90t00"/>
          <w:sz w:val="23"/>
          <w:szCs w:val="23"/>
        </w:rPr>
        <w:t>a. La investigación y desarrollo</w:t>
      </w:r>
      <w:r>
        <w:rPr>
          <w:rFonts w:ascii="TTE1D653F0t00" w:hAnsi="TTE1D653F0t00" w:cs="TTE1D653F0t00"/>
          <w:sz w:val="23"/>
          <w:szCs w:val="23"/>
        </w:rPr>
        <w:t>: Comprenden el trabajo creativo llevado a cabo de forma sistemá</w:t>
      </w:r>
      <w:r>
        <w:rPr>
          <w:rFonts w:ascii="TTE1D653F0t00" w:hAnsi="TTE1D653F0t00" w:cs="TTE1D653F0t00"/>
          <w:sz w:val="23"/>
          <w:szCs w:val="23"/>
        </w:rPr>
        <w:t xml:space="preserve">tica para incrementar el volumen de conocimientos, incluido el conocimiento del hombre, la cultura y la sociedad, y el uso de esos conocimientos para crear nuevas aplicaciones. Comprende investigación básica, aplicada y el desarrollo experimental. </w:t>
      </w:r>
    </w:p>
    <w:p w:rsidR="00000000" w:rsidRDefault="001245BD">
      <w:pPr>
        <w:pStyle w:val="CM41"/>
        <w:spacing w:after="330" w:line="328" w:lineRule="atLeast"/>
        <w:ind w:left="350"/>
        <w:jc w:val="both"/>
        <w:rPr>
          <w:rFonts w:ascii="TTE1D653F0t00" w:hAnsi="TTE1D653F0t00" w:cs="TTE1D653F0t00"/>
          <w:sz w:val="23"/>
          <w:szCs w:val="23"/>
        </w:rPr>
      </w:pPr>
      <w:r>
        <w:rPr>
          <w:rFonts w:cs="TTE23EEF90t00"/>
          <w:sz w:val="23"/>
          <w:szCs w:val="23"/>
        </w:rPr>
        <w:t>Investi</w:t>
      </w:r>
      <w:r>
        <w:rPr>
          <w:rFonts w:cs="TTE23EEF90t00"/>
          <w:sz w:val="23"/>
          <w:szCs w:val="23"/>
        </w:rPr>
        <w:t>gación básica</w:t>
      </w:r>
      <w:r>
        <w:rPr>
          <w:rFonts w:ascii="TTE1D653F0t00" w:hAnsi="TTE1D653F0t00" w:cs="TTE1D653F0t00"/>
          <w:sz w:val="23"/>
          <w:szCs w:val="23"/>
        </w:rPr>
        <w:t>: consiste en trabajos experimentales o teóricos que se emprenden fundamentalmente para obtener nuevos conocimientos acerca de los fundamentos de fenómenos y hechos observables, sin pensar en darles ninguna aplicación o utilización determinada</w:t>
      </w:r>
      <w:r>
        <w:rPr>
          <w:rFonts w:ascii="TTE1D653F0t00" w:hAnsi="TTE1D653F0t00" w:cs="TTE1D653F0t00"/>
          <w:sz w:val="23"/>
          <w:szCs w:val="23"/>
        </w:rPr>
        <w:t xml:space="preserve">. </w:t>
      </w:r>
    </w:p>
    <w:p w:rsidR="00000000" w:rsidRDefault="001245BD">
      <w:pPr>
        <w:pStyle w:val="CM41"/>
        <w:spacing w:after="330" w:line="328" w:lineRule="atLeast"/>
        <w:ind w:left="350"/>
        <w:jc w:val="both"/>
        <w:rPr>
          <w:rFonts w:ascii="TTE1D653F0t00" w:hAnsi="TTE1D653F0t00" w:cs="TTE1D653F0t00"/>
          <w:sz w:val="23"/>
          <w:szCs w:val="23"/>
        </w:rPr>
      </w:pPr>
      <w:r>
        <w:rPr>
          <w:rFonts w:cs="TTE23EEF90t00"/>
          <w:sz w:val="23"/>
          <w:szCs w:val="23"/>
        </w:rPr>
        <w:t>Investigación aplicada</w:t>
      </w:r>
      <w:r>
        <w:rPr>
          <w:rFonts w:ascii="TTE1D653F0t00" w:hAnsi="TTE1D653F0t00" w:cs="TTE1D653F0t00"/>
          <w:sz w:val="23"/>
          <w:szCs w:val="23"/>
        </w:rPr>
        <w:t xml:space="preserve">: investigación original realizada para la adquisición de nuevos conocimientos. Sin embargo, está encaminada principalmente hacia una finalidad u objetivo práctico específico. </w:t>
      </w:r>
    </w:p>
    <w:p w:rsidR="00000000" w:rsidRDefault="001245BD">
      <w:pPr>
        <w:pStyle w:val="CM41"/>
        <w:spacing w:after="330" w:line="328" w:lineRule="atLeast"/>
        <w:ind w:left="350"/>
        <w:jc w:val="both"/>
        <w:rPr>
          <w:rFonts w:ascii="TTE1D653F0t00" w:hAnsi="TTE1D653F0t00" w:cs="TTE1D653F0t00"/>
          <w:sz w:val="23"/>
          <w:szCs w:val="23"/>
        </w:rPr>
      </w:pPr>
      <w:r>
        <w:rPr>
          <w:rFonts w:cs="TTE23EEF90t00"/>
          <w:sz w:val="23"/>
          <w:szCs w:val="23"/>
        </w:rPr>
        <w:t>Desarrollo experimental</w:t>
      </w:r>
      <w:r>
        <w:rPr>
          <w:rFonts w:ascii="TTE1D653F0t00" w:hAnsi="TTE1D653F0t00" w:cs="TTE1D653F0t00"/>
          <w:sz w:val="23"/>
          <w:szCs w:val="23"/>
        </w:rPr>
        <w:t>: consiste en trabajos sistemát</w:t>
      </w:r>
      <w:r>
        <w:rPr>
          <w:rFonts w:ascii="TTE1D653F0t00" w:hAnsi="TTE1D653F0t00" w:cs="TTE1D653F0t00"/>
          <w:sz w:val="23"/>
          <w:szCs w:val="23"/>
        </w:rPr>
        <w:t>icos fundamentados en los conocimientos existentes obtenidos por la investigación o la experiencia práctica, que se dirigen a la fabricación de nuevos materiales, productos o dispositivos, a establecer nuevos procedimientos, sistemas y servicios, o a mejor</w:t>
      </w:r>
      <w:r>
        <w:rPr>
          <w:rFonts w:ascii="TTE1D653F0t00" w:hAnsi="TTE1D653F0t00" w:cs="TTE1D653F0t00"/>
          <w:sz w:val="23"/>
          <w:szCs w:val="23"/>
        </w:rPr>
        <w:t xml:space="preserve">ar considerablemente los que ya existen. </w:t>
      </w:r>
    </w:p>
    <w:p w:rsidR="00000000" w:rsidRDefault="001245BD">
      <w:pPr>
        <w:pStyle w:val="CM41"/>
        <w:spacing w:after="330" w:line="328" w:lineRule="atLeast"/>
        <w:ind w:left="350" w:hanging="350"/>
        <w:jc w:val="both"/>
        <w:rPr>
          <w:rFonts w:ascii="TTE1D653F0t00" w:hAnsi="TTE1D653F0t00" w:cs="TTE1D653F0t00"/>
          <w:sz w:val="23"/>
          <w:szCs w:val="23"/>
        </w:rPr>
      </w:pPr>
      <w:r>
        <w:rPr>
          <w:rFonts w:cs="TTE23EEF90t00"/>
          <w:sz w:val="23"/>
          <w:szCs w:val="23"/>
        </w:rPr>
        <w:t>b. La innovación en y para las empresas</w:t>
      </w:r>
      <w:r>
        <w:rPr>
          <w:rFonts w:ascii="TTE1D653F0t00" w:hAnsi="TTE1D653F0t00" w:cs="TTE1D653F0t00"/>
          <w:sz w:val="23"/>
          <w:szCs w:val="23"/>
        </w:rPr>
        <w:t>: Innovación es la creación de valor a través de la transformación de ideas o conocimientos en nuevos bienes o servicios, procesos, métodos de comercialización o métodos organ</w:t>
      </w:r>
      <w:r>
        <w:rPr>
          <w:rFonts w:ascii="TTE1D653F0t00" w:hAnsi="TTE1D653F0t00" w:cs="TTE1D653F0t00"/>
          <w:sz w:val="23"/>
          <w:szCs w:val="23"/>
        </w:rPr>
        <w:t xml:space="preserve">izacionales. </w:t>
      </w:r>
    </w:p>
    <w:p w:rsidR="00000000" w:rsidRDefault="001245BD">
      <w:pPr>
        <w:pStyle w:val="CM41"/>
        <w:spacing w:after="330" w:line="328" w:lineRule="atLeast"/>
        <w:ind w:left="350"/>
        <w:jc w:val="both"/>
        <w:rPr>
          <w:rFonts w:ascii="TTE1D653F0t00" w:hAnsi="TTE1D653F0t00" w:cs="TTE1D653F0t00"/>
          <w:sz w:val="23"/>
          <w:szCs w:val="23"/>
        </w:rPr>
      </w:pPr>
      <w:r>
        <w:rPr>
          <w:rFonts w:ascii="TTE1D653F0t00" w:hAnsi="TTE1D653F0t00" w:cs="TTE1D653F0t00"/>
          <w:sz w:val="23"/>
          <w:szCs w:val="23"/>
        </w:rPr>
        <w:t xml:space="preserve">La innovación implica la implementación de algo valorado por el mercado. Es decir, para considerar que existe una innovación, los cambios introducidos deben traducirse en mejorías que sean percibidas por los consumidores y las empresas y por </w:t>
      </w:r>
      <w:r>
        <w:rPr>
          <w:rFonts w:ascii="TTE1D653F0t00" w:hAnsi="TTE1D653F0t00" w:cs="TTE1D653F0t00"/>
          <w:sz w:val="23"/>
          <w:szCs w:val="23"/>
        </w:rPr>
        <w:t xml:space="preserve">las que el mercado esté dispuesto a pagar. </w:t>
      </w:r>
    </w:p>
    <w:p w:rsidR="00000000" w:rsidRDefault="001245BD">
      <w:pPr>
        <w:pStyle w:val="CM30"/>
        <w:ind w:left="350"/>
        <w:jc w:val="both"/>
        <w:rPr>
          <w:rFonts w:ascii="TTE1D653F0t00" w:hAnsi="TTE1D653F0t00" w:cs="TTE1D653F0t00"/>
          <w:sz w:val="23"/>
          <w:szCs w:val="23"/>
        </w:rPr>
      </w:pPr>
      <w:r>
        <w:rPr>
          <w:rFonts w:ascii="TTE1D653F0t00" w:hAnsi="TTE1D653F0t00" w:cs="TTE1D653F0t00"/>
          <w:sz w:val="23"/>
          <w:szCs w:val="23"/>
        </w:rPr>
        <w:t xml:space="preserve">Se pueden clasificar en 4 tipos básicos: </w:t>
      </w:r>
    </w:p>
    <w:p w:rsidR="00000000" w:rsidRDefault="007433DA">
      <w:pPr>
        <w:pStyle w:val="Default"/>
        <w:pageBreakBefore/>
        <w:framePr w:w="1488" w:wrap="auto" w:vAnchor="page" w:hAnchor="page" w:x="1683" w:y="1404"/>
        <w:spacing w:after="220"/>
        <w:rPr>
          <w:rFonts w:ascii="TTE1D653F0t00" w:hAnsi="TTE1D653F0t00" w:cs="TTE1D653F0t00"/>
          <w:color w:val="auto"/>
          <w:sz w:val="23"/>
          <w:szCs w:val="23"/>
        </w:rPr>
      </w:pPr>
      <w:r>
        <w:rPr>
          <w:rFonts w:ascii="TTE1D653F0t00" w:hAnsi="TTE1D653F0t00" w:cs="TTE1D653F0t00"/>
          <w:noProof/>
          <w:color w:val="auto"/>
          <w:sz w:val="23"/>
          <w:szCs w:val="23"/>
        </w:rPr>
        <w:lastRenderedPageBreak/>
        <w:drawing>
          <wp:inline distT="0" distB="0" distL="0" distR="0">
            <wp:extent cx="447675" cy="561975"/>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Default"/>
        <w:numPr>
          <w:ilvl w:val="0"/>
          <w:numId w:val="3"/>
        </w:numPr>
        <w:spacing w:after="95"/>
        <w:rPr>
          <w:rFonts w:ascii="TTE1D653F0t00" w:hAnsi="TTE1D653F0t00" w:cs="TTE1D653F0t00"/>
          <w:color w:val="auto"/>
          <w:sz w:val="23"/>
          <w:szCs w:val="23"/>
        </w:rPr>
      </w:pPr>
      <w:r>
        <w:rPr>
          <w:rFonts w:ascii="TTE1D653F0t00" w:hAnsi="TTE1D653F0t00" w:cs="TTE1D653F0t00"/>
          <w:color w:val="auto"/>
          <w:sz w:val="23"/>
          <w:szCs w:val="23"/>
        </w:rPr>
        <w:t xml:space="preserve">Innovaciones de bienes y servicios, referidas a la introducción de productos </w:t>
      </w:r>
      <w:r>
        <w:rPr>
          <w:rFonts w:ascii="TTE1D653F0t00" w:hAnsi="TTE1D653F0t00" w:cs="TTE1D653F0t00"/>
          <w:color w:val="auto"/>
          <w:sz w:val="23"/>
          <w:szCs w:val="23"/>
        </w:rPr>
        <w:t xml:space="preserve">nuevos o significativamente mejorados en sus características funcionales o usos previstos. </w:t>
      </w:r>
    </w:p>
    <w:p w:rsidR="00000000" w:rsidRDefault="001245BD">
      <w:pPr>
        <w:pStyle w:val="Default"/>
        <w:numPr>
          <w:ilvl w:val="0"/>
          <w:numId w:val="3"/>
        </w:numPr>
        <w:spacing w:after="95"/>
        <w:rPr>
          <w:rFonts w:ascii="TTE1D653F0t00" w:hAnsi="TTE1D653F0t00" w:cs="TTE1D653F0t00"/>
          <w:color w:val="auto"/>
          <w:sz w:val="23"/>
          <w:szCs w:val="23"/>
        </w:rPr>
      </w:pPr>
      <w:r>
        <w:rPr>
          <w:rFonts w:ascii="TTE1D653F0t00" w:hAnsi="TTE1D653F0t00" w:cs="TTE1D653F0t00"/>
          <w:color w:val="auto"/>
          <w:sz w:val="23"/>
          <w:szCs w:val="23"/>
        </w:rPr>
        <w:t xml:space="preserve">Innovaciones de procesos, referidas a la implementación de métodos nuevos o significativamente mejorados de producción o distribución, llevados a cabo en general a </w:t>
      </w:r>
      <w:r>
        <w:rPr>
          <w:rFonts w:ascii="TTE1D653F0t00" w:hAnsi="TTE1D653F0t00" w:cs="TTE1D653F0t00"/>
          <w:color w:val="auto"/>
          <w:sz w:val="23"/>
          <w:szCs w:val="23"/>
        </w:rPr>
        <w:t xml:space="preserve">través de equipos, técnicas o software. </w:t>
      </w:r>
    </w:p>
    <w:p w:rsidR="00000000" w:rsidRDefault="001245BD">
      <w:pPr>
        <w:pStyle w:val="Default"/>
        <w:numPr>
          <w:ilvl w:val="0"/>
          <w:numId w:val="3"/>
        </w:numPr>
        <w:spacing w:after="95"/>
        <w:rPr>
          <w:rFonts w:ascii="TTE1D653F0t00" w:hAnsi="TTE1D653F0t00" w:cs="TTE1D653F0t00"/>
          <w:color w:val="auto"/>
          <w:sz w:val="23"/>
          <w:szCs w:val="23"/>
        </w:rPr>
      </w:pPr>
      <w:r>
        <w:rPr>
          <w:rFonts w:ascii="TTE1D653F0t00" w:hAnsi="TTE1D653F0t00" w:cs="TTE1D653F0t00"/>
          <w:color w:val="auto"/>
          <w:sz w:val="23"/>
          <w:szCs w:val="23"/>
        </w:rPr>
        <w:t xml:space="preserve">Innovaciones de métodos de comercialización (producto / precio / plaza / promoción), que involucren cambios significativos en el diseño, empaque, venta, posicionamiento o precio de un bien o servicio. </w:t>
      </w:r>
    </w:p>
    <w:p w:rsidR="00000000" w:rsidRDefault="001245BD">
      <w:pPr>
        <w:pStyle w:val="Default"/>
        <w:numPr>
          <w:ilvl w:val="0"/>
          <w:numId w:val="3"/>
        </w:numPr>
        <w:rPr>
          <w:rFonts w:ascii="TTE1D653F0t00" w:hAnsi="TTE1D653F0t00" w:cs="TTE1D653F0t00"/>
          <w:color w:val="auto"/>
          <w:sz w:val="23"/>
          <w:szCs w:val="23"/>
        </w:rPr>
      </w:pPr>
      <w:r>
        <w:rPr>
          <w:rFonts w:ascii="TTE1D653F0t00" w:hAnsi="TTE1D653F0t00" w:cs="TTE1D653F0t00"/>
          <w:color w:val="auto"/>
          <w:sz w:val="23"/>
          <w:szCs w:val="23"/>
        </w:rPr>
        <w:t xml:space="preserve">Innovaciones </w:t>
      </w:r>
      <w:r>
        <w:rPr>
          <w:rFonts w:ascii="TTE1D653F0t00" w:hAnsi="TTE1D653F0t00" w:cs="TTE1D653F0t00"/>
          <w:color w:val="auto"/>
          <w:sz w:val="23"/>
          <w:szCs w:val="23"/>
        </w:rPr>
        <w:t xml:space="preserve">de métodos organizacionales, referidas a la implementación de nuevos métodos en las prácticas de negocio, la organización en el lugar de trabajo o en el modo en que se lleva las relaciones externas de la organización. </w:t>
      </w:r>
    </w:p>
    <w:p w:rsidR="00000000" w:rsidRDefault="001245BD">
      <w:pPr>
        <w:pStyle w:val="Default"/>
        <w:rPr>
          <w:rFonts w:ascii="TTE1D653F0t00" w:hAnsi="TTE1D653F0t00" w:cs="TTE1D653F0t00"/>
          <w:color w:val="auto"/>
          <w:sz w:val="23"/>
          <w:szCs w:val="23"/>
        </w:rPr>
      </w:pPr>
    </w:p>
    <w:p w:rsidR="00000000" w:rsidRDefault="001245BD">
      <w:pPr>
        <w:pStyle w:val="CM36"/>
        <w:spacing w:after="177" w:line="328" w:lineRule="atLeast"/>
        <w:ind w:left="350"/>
        <w:jc w:val="both"/>
        <w:rPr>
          <w:rFonts w:ascii="TTE1D653F0t00" w:hAnsi="TTE1D653F0t00" w:cs="TTE1D653F0t00"/>
          <w:sz w:val="23"/>
          <w:szCs w:val="23"/>
        </w:rPr>
      </w:pPr>
      <w:r>
        <w:rPr>
          <w:rFonts w:ascii="TTE1D653F0t00" w:hAnsi="TTE1D653F0t00" w:cs="TTE1D653F0t00"/>
          <w:sz w:val="23"/>
          <w:szCs w:val="23"/>
        </w:rPr>
        <w:t xml:space="preserve">Al innovar, las empresas introducen </w:t>
      </w:r>
      <w:r>
        <w:rPr>
          <w:rFonts w:ascii="TTE1D653F0t00" w:hAnsi="TTE1D653F0t00" w:cs="TTE1D653F0t00"/>
          <w:sz w:val="23"/>
          <w:szCs w:val="23"/>
        </w:rPr>
        <w:t>en el mercado un producto o servicio nuevo o significativamente mejorado, lo que habitualmente les proporciona ventajas competitivas y genera altas ganancias. Es importante consignar que algunas de estas innovaciones – dependiendo de su importancia estraté</w:t>
      </w:r>
      <w:r>
        <w:rPr>
          <w:rFonts w:ascii="TTE1D653F0t00" w:hAnsi="TTE1D653F0t00" w:cs="TTE1D653F0t00"/>
          <w:sz w:val="23"/>
          <w:szCs w:val="23"/>
        </w:rPr>
        <w:t xml:space="preserve">gica-dan origen a innovaciones en modelos de negocios, siendo habitual que ello ocurra cuando en un cambio se da una combinatoria de más de uno de los 4 tipos básicos antes mencionados. </w:t>
      </w:r>
    </w:p>
    <w:p w:rsidR="00000000" w:rsidRDefault="001245BD">
      <w:pPr>
        <w:pStyle w:val="CM47"/>
        <w:spacing w:after="725" w:line="328" w:lineRule="atLeast"/>
        <w:ind w:left="350"/>
        <w:jc w:val="both"/>
        <w:rPr>
          <w:rFonts w:ascii="TTE1D653F0t00" w:hAnsi="TTE1D653F0t00" w:cs="TTE1D653F0t00"/>
          <w:sz w:val="23"/>
          <w:szCs w:val="23"/>
        </w:rPr>
      </w:pPr>
      <w:r>
        <w:rPr>
          <w:rFonts w:ascii="TTE1D653F0t00" w:hAnsi="TTE1D653F0t00" w:cs="TTE1D653F0t00"/>
          <w:sz w:val="23"/>
          <w:szCs w:val="23"/>
        </w:rPr>
        <w:t>El rol de las empresas es esencial, pues es en ellas donde se materia</w:t>
      </w:r>
      <w:r>
        <w:rPr>
          <w:rFonts w:ascii="TTE1D653F0t00" w:hAnsi="TTE1D653F0t00" w:cs="TTE1D653F0t00"/>
          <w:sz w:val="23"/>
          <w:szCs w:val="23"/>
        </w:rPr>
        <w:t xml:space="preserve">lizan las innovaciones. Son las empresas, de todo tamaño, las responsables de identificar los nuevos desarrollos que tienen mayor potencial económico e implementar todas las etapas requeridas para que las innovaciones lleguen hasta los consumidores. </w:t>
      </w:r>
    </w:p>
    <w:p w:rsidR="00000000" w:rsidRDefault="001245BD">
      <w:pPr>
        <w:pStyle w:val="CM41"/>
        <w:spacing w:after="330" w:line="328" w:lineRule="atLeast"/>
        <w:ind w:left="350" w:hanging="350"/>
        <w:jc w:val="both"/>
        <w:rPr>
          <w:rFonts w:ascii="TTE1D653F0t00" w:hAnsi="TTE1D653F0t00" w:cs="TTE1D653F0t00"/>
          <w:sz w:val="23"/>
          <w:szCs w:val="23"/>
        </w:rPr>
      </w:pPr>
      <w:r>
        <w:rPr>
          <w:rFonts w:cs="TTE23EEF90t00"/>
          <w:sz w:val="23"/>
          <w:szCs w:val="23"/>
        </w:rPr>
        <w:t>c. La</w:t>
      </w:r>
      <w:r>
        <w:rPr>
          <w:rFonts w:cs="TTE23EEF90t00"/>
          <w:sz w:val="23"/>
          <w:szCs w:val="23"/>
        </w:rPr>
        <w:t xml:space="preserve"> difusión y transferencia tecnológica</w:t>
      </w:r>
      <w:r>
        <w:rPr>
          <w:rFonts w:ascii="TTE1D653F0t00" w:hAnsi="TTE1D653F0t00" w:cs="TTE1D653F0t00"/>
          <w:sz w:val="23"/>
          <w:szCs w:val="23"/>
        </w:rPr>
        <w:t>: La difusión es el proceso mediante el cual una innovación se propaga en la economía desde su primera implementación hacia diferentes empresas, sectores, países, regiones o consumidores. Es el proceso de adopción de un</w:t>
      </w:r>
      <w:r>
        <w:rPr>
          <w:rFonts w:ascii="TTE1D653F0t00" w:hAnsi="TTE1D653F0t00" w:cs="TTE1D653F0t00"/>
          <w:sz w:val="23"/>
          <w:szCs w:val="23"/>
        </w:rPr>
        <w:t xml:space="preserve"> nuevo bien o servicio, proceso, método de comercialización o método organizacional por parte de nuevos usuarios, donde estos pueden ser los consumidores, otras empresas, u otros. </w:t>
      </w:r>
    </w:p>
    <w:p w:rsidR="00000000" w:rsidRDefault="001245BD">
      <w:pPr>
        <w:pStyle w:val="CM30"/>
        <w:ind w:left="350"/>
        <w:jc w:val="both"/>
        <w:rPr>
          <w:rFonts w:ascii="TTE1D653F0t00" w:hAnsi="TTE1D653F0t00" w:cs="TTE1D653F0t00"/>
          <w:sz w:val="23"/>
          <w:szCs w:val="23"/>
        </w:rPr>
      </w:pPr>
      <w:r>
        <w:rPr>
          <w:rFonts w:ascii="TTE1D653F0t00" w:hAnsi="TTE1D653F0t00" w:cs="TTE1D653F0t00"/>
          <w:sz w:val="23"/>
          <w:szCs w:val="23"/>
        </w:rPr>
        <w:t>La transferencia tecnológica es la aplicación local de nuevos desarrollos r</w:t>
      </w:r>
      <w:r>
        <w:rPr>
          <w:rFonts w:ascii="TTE1D653F0t00" w:hAnsi="TTE1D653F0t00" w:cs="TTE1D653F0t00"/>
          <w:sz w:val="23"/>
          <w:szCs w:val="23"/>
        </w:rPr>
        <w:t>ealizados en otros países, o de la adopción de conocimientos, prácticas y técnicas desde otras realidades. La transferencia se refiere al proceso mediante el cual las empresas adquieren nuevos conocimientos, prácticas y técnicas como parte de su propia act</w:t>
      </w:r>
      <w:r>
        <w:rPr>
          <w:rFonts w:ascii="TTE1D653F0t00" w:hAnsi="TTE1D653F0t00" w:cs="TTE1D653F0t00"/>
          <w:sz w:val="23"/>
          <w:szCs w:val="23"/>
        </w:rPr>
        <w:t xml:space="preserve">ividad innovadora. </w:t>
      </w:r>
    </w:p>
    <w:p w:rsidR="00000000" w:rsidRDefault="007433DA">
      <w:pPr>
        <w:pStyle w:val="Default"/>
        <w:pageBreakBefore/>
        <w:framePr w:w="1488" w:wrap="auto" w:vAnchor="page" w:hAnchor="page" w:x="1683" w:y="1404"/>
        <w:spacing w:after="200"/>
        <w:rPr>
          <w:rFonts w:ascii="TTE1D653F0t00" w:hAnsi="TTE1D653F0t00" w:cs="TTE1D653F0t00"/>
          <w:color w:val="auto"/>
          <w:sz w:val="23"/>
          <w:szCs w:val="23"/>
        </w:rPr>
      </w:pPr>
      <w:r>
        <w:rPr>
          <w:rFonts w:ascii="TTE1D653F0t00" w:hAnsi="TTE1D653F0t00" w:cs="TTE1D653F0t00"/>
          <w:noProof/>
          <w:color w:val="auto"/>
          <w:sz w:val="23"/>
          <w:szCs w:val="23"/>
        </w:rPr>
        <w:lastRenderedPageBreak/>
        <w:drawing>
          <wp:inline distT="0" distB="0" distL="0" distR="0">
            <wp:extent cx="447675" cy="561975"/>
            <wp:effectExtent l="1905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41"/>
        <w:spacing w:after="330" w:line="328" w:lineRule="atLeast"/>
        <w:ind w:left="345"/>
        <w:rPr>
          <w:rFonts w:ascii="TTE1D653F0t00" w:hAnsi="TTE1D653F0t00" w:cs="TTE1D653F0t00"/>
          <w:sz w:val="23"/>
          <w:szCs w:val="23"/>
        </w:rPr>
      </w:pPr>
      <w:r>
        <w:rPr>
          <w:rFonts w:ascii="TTE1D653F0t00" w:hAnsi="TTE1D653F0t00" w:cs="TTE1D653F0t00"/>
          <w:sz w:val="23"/>
          <w:szCs w:val="23"/>
        </w:rPr>
        <w:t>Las definiciones planteadas sobre difusión y transferencia establecen una diferencia fundamental entre ambos procesos: mientras que la difusión es un proceso que in</w:t>
      </w:r>
      <w:r>
        <w:rPr>
          <w:rFonts w:ascii="TTE1D653F0t00" w:hAnsi="TTE1D653F0t00" w:cs="TTE1D653F0t00"/>
          <w:sz w:val="23"/>
          <w:szCs w:val="23"/>
        </w:rPr>
        <w:t>volucra necesariamente “innovaciones”, la transferencia se refiere a la adopción de innovaciones, o de nuevos conocimientos, prácticas y técnicas, que no necesariamente constituyen innovaciones en sí mismas, pero que tienen potencial de serlo Las innovacio</w:t>
      </w:r>
      <w:r>
        <w:rPr>
          <w:rFonts w:ascii="TTE1D653F0t00" w:hAnsi="TTE1D653F0t00" w:cs="TTE1D653F0t00"/>
          <w:sz w:val="23"/>
          <w:szCs w:val="23"/>
        </w:rPr>
        <w:t>nes y conocimientos involucrados en los procesos de difusión y transferencia no son aquellos de mayor y más reciente novedad, pues éstos – por definición – son de dominio de quienes los desarrollan. Sin embargo, estos procesos pueden llegar a introducir gr</w:t>
      </w:r>
      <w:r>
        <w:rPr>
          <w:rFonts w:ascii="TTE1D653F0t00" w:hAnsi="TTE1D653F0t00" w:cs="TTE1D653F0t00"/>
          <w:sz w:val="23"/>
          <w:szCs w:val="23"/>
        </w:rPr>
        <w:t xml:space="preserve">andes innovaciones, aun cuando el cambio involucrado sea muy poco innovador para su contexto de origen. </w:t>
      </w:r>
    </w:p>
    <w:p w:rsidR="00000000" w:rsidRDefault="001245BD">
      <w:pPr>
        <w:pStyle w:val="Default"/>
        <w:spacing w:after="391"/>
        <w:rPr>
          <w:rFonts w:ascii="TTE1D653F0t00" w:hAnsi="TTE1D653F0t00" w:cs="TTE1D653F0t00"/>
          <w:color w:val="auto"/>
          <w:sz w:val="23"/>
          <w:szCs w:val="23"/>
        </w:rPr>
      </w:pPr>
      <w:r>
        <w:rPr>
          <w:color w:val="auto"/>
          <w:sz w:val="23"/>
          <w:szCs w:val="23"/>
        </w:rPr>
        <w:t>d. La aceleración del emprendimiento innovador</w:t>
      </w:r>
      <w:r>
        <w:rPr>
          <w:rFonts w:ascii="TTE1D653F0t00" w:hAnsi="TTE1D653F0t00" w:cs="TTE1D653F0t00"/>
          <w:color w:val="auto"/>
          <w:sz w:val="23"/>
          <w:szCs w:val="23"/>
        </w:rPr>
        <w:t xml:space="preserve">: Todo tipo de actividades y programas que apoyen el desarrollo temprano de emprendimientos innovadores, </w:t>
      </w:r>
      <w:r>
        <w:rPr>
          <w:rFonts w:ascii="TTE1D653F0t00" w:hAnsi="TTE1D653F0t00" w:cs="TTE1D653F0t00"/>
          <w:color w:val="auto"/>
          <w:sz w:val="23"/>
          <w:szCs w:val="23"/>
        </w:rPr>
        <w:t>entendido como la acción de iniciar un nuevo negocio en torno a una innovación. Estas nuevas empresas enfrentan grandes riesgos, y es común que la gran mayoría de ellas fracasen, pero en los casos en que logran pasar ciertos umbrales de desarrollo, su impa</w:t>
      </w:r>
      <w:r>
        <w:rPr>
          <w:rFonts w:ascii="TTE1D653F0t00" w:hAnsi="TTE1D653F0t00" w:cs="TTE1D653F0t00"/>
          <w:color w:val="auto"/>
          <w:sz w:val="23"/>
          <w:szCs w:val="23"/>
        </w:rPr>
        <w:t xml:space="preserve">cto en la economía suele ser muy importante, a menudo revolucionando completamente una industria entera. </w:t>
      </w:r>
    </w:p>
    <w:p w:rsidR="00000000" w:rsidRDefault="001245BD">
      <w:pPr>
        <w:pStyle w:val="Default"/>
        <w:rPr>
          <w:rFonts w:ascii="TTE1D653F0t00" w:hAnsi="TTE1D653F0t00" w:cs="TTE1D653F0t00"/>
          <w:color w:val="auto"/>
          <w:sz w:val="23"/>
          <w:szCs w:val="23"/>
        </w:rPr>
      </w:pPr>
      <w:r>
        <w:rPr>
          <w:color w:val="auto"/>
          <w:sz w:val="23"/>
          <w:szCs w:val="23"/>
        </w:rPr>
        <w:t>e. La formación, inserción y atracción de recursos humanos especializados</w:t>
      </w:r>
      <w:r>
        <w:rPr>
          <w:rFonts w:ascii="TTE1D653F0t00" w:hAnsi="TTE1D653F0t00" w:cs="TTE1D653F0t00"/>
          <w:color w:val="auto"/>
          <w:sz w:val="23"/>
          <w:szCs w:val="23"/>
        </w:rPr>
        <w:t>: Se entiende como formación de recursos humanos especializados aquellas acci</w:t>
      </w:r>
      <w:r>
        <w:rPr>
          <w:rFonts w:ascii="TTE1D653F0t00" w:hAnsi="TTE1D653F0t00" w:cs="TTE1D653F0t00"/>
          <w:color w:val="auto"/>
          <w:sz w:val="23"/>
          <w:szCs w:val="23"/>
        </w:rPr>
        <w:t>ones orientadas a apoyar y fortalecer la generación de investigadores y profesionales de excelencia, que logren niveles de competencia tales que les permita realizar aportes significativos tanto para el desarrollo de la actividad científica y tecnológica q</w:t>
      </w:r>
      <w:r>
        <w:rPr>
          <w:rFonts w:ascii="TTE1D653F0t00" w:hAnsi="TTE1D653F0t00" w:cs="TTE1D653F0t00"/>
          <w:color w:val="auto"/>
          <w:sz w:val="23"/>
          <w:szCs w:val="23"/>
        </w:rPr>
        <w:t xml:space="preserve">ue requiere el país como para el de sus actividades productivos y de formación académica. </w:t>
      </w:r>
    </w:p>
    <w:p w:rsidR="00000000" w:rsidRDefault="001245BD">
      <w:pPr>
        <w:pStyle w:val="Default"/>
        <w:rPr>
          <w:rFonts w:ascii="TTE1D653F0t00" w:hAnsi="TTE1D653F0t00" w:cs="TTE1D653F0t00"/>
          <w:color w:val="auto"/>
          <w:sz w:val="23"/>
          <w:szCs w:val="23"/>
        </w:rPr>
      </w:pPr>
    </w:p>
    <w:p w:rsidR="00000000" w:rsidRDefault="001245BD">
      <w:pPr>
        <w:pStyle w:val="CM47"/>
        <w:spacing w:after="725" w:line="328" w:lineRule="atLeast"/>
        <w:ind w:left="345"/>
        <w:rPr>
          <w:rFonts w:ascii="TTE1D653F0t00" w:hAnsi="TTE1D653F0t00" w:cs="TTE1D653F0t00"/>
          <w:sz w:val="23"/>
          <w:szCs w:val="23"/>
        </w:rPr>
      </w:pPr>
      <w:r>
        <w:rPr>
          <w:rFonts w:ascii="TTE1D653F0t00" w:hAnsi="TTE1D653F0t00" w:cs="TTE1D653F0t00"/>
          <w:sz w:val="23"/>
          <w:szCs w:val="23"/>
        </w:rPr>
        <w:t xml:space="preserve">Por su parte, la inserción y atracción de esos recursos humanos involucra a aquellas iniciativas que se orientan a aumentar las capacidades académicas, científicas </w:t>
      </w:r>
      <w:r>
        <w:rPr>
          <w:rFonts w:ascii="TTE1D653F0t00" w:hAnsi="TTE1D653F0t00" w:cs="TTE1D653F0t00"/>
          <w:sz w:val="23"/>
          <w:szCs w:val="23"/>
        </w:rPr>
        <w:t>y tecnológicas de las instituciones nacionales que desarrollan ciencia y tecnología, mediante la traída de investigadores internacionales de excelencia y la incorporación laboral de profesionales altamente calificados, tanto en la academia como en el secto</w:t>
      </w:r>
      <w:r>
        <w:rPr>
          <w:rFonts w:ascii="TTE1D653F0t00" w:hAnsi="TTE1D653F0t00" w:cs="TTE1D653F0t00"/>
          <w:sz w:val="23"/>
          <w:szCs w:val="23"/>
        </w:rPr>
        <w:t xml:space="preserve">r productivo nacional. </w:t>
      </w:r>
    </w:p>
    <w:p w:rsidR="00000000" w:rsidRDefault="001245BD">
      <w:pPr>
        <w:pStyle w:val="CM41"/>
        <w:spacing w:after="330" w:line="328" w:lineRule="atLeast"/>
        <w:ind w:left="350" w:hanging="350"/>
        <w:jc w:val="both"/>
        <w:rPr>
          <w:rFonts w:ascii="TTE1D653F0t00" w:hAnsi="TTE1D653F0t00" w:cs="TTE1D653F0t00"/>
          <w:sz w:val="23"/>
          <w:szCs w:val="23"/>
        </w:rPr>
      </w:pPr>
      <w:r>
        <w:rPr>
          <w:rFonts w:cs="TTE23EEF90t00"/>
          <w:sz w:val="23"/>
          <w:szCs w:val="23"/>
        </w:rPr>
        <w:t>f. El fortalecimiento de redes para la innovación y equipamiento de apoyo a la competitividad</w:t>
      </w:r>
      <w:r>
        <w:rPr>
          <w:rFonts w:ascii="TTE1D653F0t00" w:hAnsi="TTE1D653F0t00" w:cs="TTE1D653F0t00"/>
          <w:sz w:val="23"/>
          <w:szCs w:val="23"/>
        </w:rPr>
        <w:t>: Facilitar un espacio de cooperació</w:t>
      </w:r>
      <w:r>
        <w:rPr>
          <w:rFonts w:ascii="TTE1D653F0t00" w:hAnsi="TTE1D653F0t00" w:cs="TTE1D653F0t00"/>
          <w:sz w:val="23"/>
          <w:szCs w:val="23"/>
        </w:rPr>
        <w:t>n y puesta en marcha de proyectos cooperativos transversales entre diferentes agentes del sistema de innovación, donde se desarrollen espacios y elementos físicos asociados a la generación de nuevos conocimientos y a la interacción de los agentes asociados</w:t>
      </w:r>
      <w:r>
        <w:rPr>
          <w:rFonts w:ascii="TTE1D653F0t00" w:hAnsi="TTE1D653F0t00" w:cs="TTE1D653F0t00"/>
          <w:sz w:val="23"/>
          <w:szCs w:val="23"/>
        </w:rPr>
        <w:t xml:space="preserve"> y/o vinculados al sistema de ciencia-tecnología-empresa en el uso de nuevos conocimientos. </w:t>
      </w:r>
    </w:p>
    <w:p w:rsidR="00000000" w:rsidRDefault="007433DA">
      <w:pPr>
        <w:pStyle w:val="Default"/>
        <w:pageBreakBefore/>
        <w:framePr w:w="1488" w:wrap="auto" w:vAnchor="page" w:hAnchor="page" w:x="1683" w:y="1404"/>
        <w:spacing w:after="200"/>
        <w:rPr>
          <w:rFonts w:ascii="TTE1D653F0t00" w:hAnsi="TTE1D653F0t00" w:cs="TTE1D653F0t00"/>
          <w:color w:val="auto"/>
          <w:sz w:val="23"/>
          <w:szCs w:val="23"/>
        </w:rPr>
      </w:pPr>
      <w:r>
        <w:rPr>
          <w:rFonts w:ascii="TTE1D653F0t00" w:hAnsi="TTE1D653F0t00" w:cs="TTE1D653F0t00"/>
          <w:noProof/>
          <w:color w:val="auto"/>
          <w:sz w:val="23"/>
          <w:szCs w:val="23"/>
        </w:rPr>
        <w:lastRenderedPageBreak/>
        <w:drawing>
          <wp:inline distT="0" distB="0" distL="0" distR="0">
            <wp:extent cx="447675" cy="561975"/>
            <wp:effectExtent l="1905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a:srcRect/>
                    <a:stretch>
                      <a:fillRect/>
                    </a:stretch>
                  </pic:blipFill>
                  <pic:spPr bwMode="auto">
                    <a:xfrm>
                      <a:off x="0" y="0"/>
                      <a:ext cx="447675" cy="561975"/>
                    </a:xfrm>
                    <a:prstGeom prst="rect">
                      <a:avLst/>
                    </a:prstGeom>
                    <a:noFill/>
                    <a:ln w="9525">
                      <a:noFill/>
                      <a:miter lim="800000"/>
                      <a:headEnd/>
                      <a:tailEnd/>
                    </a:ln>
                  </pic:spPr>
                </pic:pic>
              </a:graphicData>
            </a:graphic>
          </wp:inline>
        </w:drawing>
      </w:r>
    </w:p>
    <w:p w:rsidR="00000000" w:rsidRDefault="001245BD">
      <w:pPr>
        <w:pStyle w:val="CM36"/>
        <w:spacing w:after="177" w:line="328" w:lineRule="atLeast"/>
        <w:ind w:left="350" w:hanging="350"/>
        <w:jc w:val="both"/>
        <w:rPr>
          <w:rFonts w:ascii="TTE1D653F0t00" w:hAnsi="TTE1D653F0t00" w:cs="TTE1D653F0t00"/>
          <w:sz w:val="23"/>
          <w:szCs w:val="23"/>
        </w:rPr>
      </w:pPr>
      <w:r>
        <w:rPr>
          <w:rFonts w:cs="TTE23EEF90t00"/>
          <w:sz w:val="23"/>
          <w:szCs w:val="23"/>
        </w:rPr>
        <w:t>g. El fomento de la cultura del emprendimiento y la innovación, y el emprendimiento innova</w:t>
      </w:r>
      <w:r>
        <w:rPr>
          <w:rFonts w:cs="TTE23EEF90t00"/>
          <w:sz w:val="23"/>
          <w:szCs w:val="23"/>
        </w:rPr>
        <w:t>dor</w:t>
      </w:r>
      <w:r>
        <w:rPr>
          <w:rFonts w:ascii="TTE1D653F0t00" w:hAnsi="TTE1D653F0t00" w:cs="TTE1D653F0t00"/>
          <w:sz w:val="23"/>
          <w:szCs w:val="23"/>
        </w:rPr>
        <w:t xml:space="preserve">: Para que la innovación se convierta en práctica efectiva, es de vital importancia promover una cultura y actitudes innovadoras apropiadas a las necesidades y características de su contexto socioeconómico. </w:t>
      </w:r>
    </w:p>
    <w:p w:rsidR="00000000" w:rsidRDefault="001245BD">
      <w:pPr>
        <w:pStyle w:val="CM36"/>
        <w:spacing w:after="177" w:line="328" w:lineRule="atLeast"/>
        <w:ind w:left="350"/>
        <w:jc w:val="both"/>
        <w:rPr>
          <w:rFonts w:ascii="TTE1D653F0t00" w:hAnsi="TTE1D653F0t00" w:cs="TTE1D653F0t00"/>
          <w:sz w:val="23"/>
          <w:szCs w:val="23"/>
        </w:rPr>
      </w:pPr>
      <w:r>
        <w:rPr>
          <w:rFonts w:ascii="TTE1D653F0t00" w:hAnsi="TTE1D653F0t00" w:cs="TTE1D653F0t00"/>
          <w:sz w:val="23"/>
          <w:szCs w:val="23"/>
        </w:rPr>
        <w:t>Se entenderá por fomento de la cultura del em</w:t>
      </w:r>
      <w:r>
        <w:rPr>
          <w:rFonts w:ascii="TTE1D653F0t00" w:hAnsi="TTE1D653F0t00" w:cs="TTE1D653F0t00"/>
          <w:sz w:val="23"/>
          <w:szCs w:val="23"/>
        </w:rPr>
        <w:t>prendimiento y la innovación toda acción que fomente y promueva la sensibilización, motivación e incorporación de aptitudes más abiertas de los agentes económicos y la adquisición de nuevos conocimientos en su desempeño concreto en el sistema de innovación</w:t>
      </w:r>
      <w:r>
        <w:rPr>
          <w:rFonts w:ascii="TTE1D653F0t00" w:hAnsi="TTE1D653F0t00" w:cs="TTE1D653F0t00"/>
          <w:sz w:val="23"/>
          <w:szCs w:val="23"/>
        </w:rPr>
        <w:t>. Las actividades y programas financiados deberán propender a una promoción y reforzamiento en distintos ámbitos (empresas, personas y grupos sociales), enfatizando la voluntad de vencer el temor al fracaso y la comprensión de los obstáculos como oportunid</w:t>
      </w:r>
      <w:r>
        <w:rPr>
          <w:rFonts w:ascii="TTE1D653F0t00" w:hAnsi="TTE1D653F0t00" w:cs="TTE1D653F0t00"/>
          <w:sz w:val="23"/>
          <w:szCs w:val="23"/>
        </w:rPr>
        <w:t xml:space="preserve">ades, y generando la certeza de que el desarrollo depende de la capacidad de innovar. </w:t>
      </w:r>
    </w:p>
    <w:p w:rsidR="00000000" w:rsidRDefault="001245BD">
      <w:pPr>
        <w:pStyle w:val="CM36"/>
        <w:spacing w:after="177" w:line="328" w:lineRule="atLeast"/>
        <w:ind w:left="350"/>
        <w:jc w:val="both"/>
        <w:rPr>
          <w:rFonts w:ascii="TTE1D653F0t00" w:hAnsi="TTE1D653F0t00" w:cs="TTE1D653F0t00"/>
          <w:sz w:val="23"/>
          <w:szCs w:val="23"/>
        </w:rPr>
      </w:pPr>
      <w:r>
        <w:rPr>
          <w:rFonts w:ascii="TTE1D653F0t00" w:hAnsi="TTE1D653F0t00" w:cs="TTE1D653F0t00"/>
          <w:sz w:val="23"/>
          <w:szCs w:val="23"/>
        </w:rPr>
        <w:t>Unido a lo anterior, es evidente que la cultura que se ha de promover para incentivar la innovación es aquella que motive el trabajo cooperativo y el uso de redes, estim</w:t>
      </w:r>
      <w:r>
        <w:rPr>
          <w:rFonts w:ascii="TTE1D653F0t00" w:hAnsi="TTE1D653F0t00" w:cs="TTE1D653F0t00"/>
          <w:sz w:val="23"/>
          <w:szCs w:val="23"/>
        </w:rPr>
        <w:t xml:space="preserve">ulando las transferencias y la difusión de nuevas prácticas en pro de la innovación. </w:t>
      </w:r>
    </w:p>
    <w:p w:rsidR="001245BD" w:rsidRDefault="001245BD">
      <w:pPr>
        <w:pStyle w:val="CM30"/>
        <w:ind w:left="350"/>
        <w:jc w:val="both"/>
      </w:pPr>
      <w:r>
        <w:rPr>
          <w:rFonts w:ascii="TTE1D653F0t00" w:hAnsi="TTE1D653F0t00" w:cs="TTE1D653F0t00"/>
          <w:sz w:val="23"/>
          <w:szCs w:val="23"/>
        </w:rPr>
        <w:t xml:space="preserve">En las empresas se pueden introducir nuevas estructuras organizativas o nuevas prácticas para construir una nueva cultura de empresas, nuevas normas y nuevos valores con </w:t>
      </w:r>
      <w:r>
        <w:rPr>
          <w:rFonts w:ascii="TTE1D653F0t00" w:hAnsi="TTE1D653F0t00" w:cs="TTE1D653F0t00"/>
          <w:sz w:val="23"/>
          <w:szCs w:val="23"/>
        </w:rPr>
        <w:t xml:space="preserve">el fin de mejorar su capacidad para innovar. </w:t>
      </w:r>
    </w:p>
    <w:sectPr w:rsidR="001245BD">
      <w:pgSz w:w="11900" w:h="17340"/>
      <w:pgMar w:top="1903" w:right="734" w:bottom="1346" w:left="1435"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TE23EEF90t00">
    <w:altName w:val="TT E 23 EE F 90t"/>
    <w:panose1 w:val="00000000000000000000"/>
    <w:charset w:val="00"/>
    <w:family w:val="auto"/>
    <w:notTrueType/>
    <w:pitch w:val="default"/>
    <w:sig w:usb0="00000003" w:usb1="00000000" w:usb2="00000000" w:usb3="00000000" w:csb0="00000001" w:csb1="00000000"/>
  </w:font>
  <w:font w:name="TTE23F97D0t00">
    <w:altName w:val="TT E 23 F 97 D 0t"/>
    <w:panose1 w:val="00000000000000000000"/>
    <w:charset w:val="00"/>
    <w:family w:val="swiss"/>
    <w:notTrueType/>
    <w:pitch w:val="default"/>
    <w:sig w:usb0="00000003" w:usb1="00000000" w:usb2="00000000" w:usb3="00000000" w:csb0="00000001" w:csb1="00000000"/>
  </w:font>
  <w:font w:name="TTE1D653F0t00">
    <w:altName w:val="TT E 1 D 65 3 F 0t"/>
    <w:panose1 w:val="00000000000000000000"/>
    <w:charset w:val="00"/>
    <w:family w:val="auto"/>
    <w:notTrueType/>
    <w:pitch w:val="default"/>
    <w:sig w:usb0="00000003" w:usb1="00000000" w:usb2="00000000" w:usb3="00000000" w:csb0="00000001" w:csb1="00000000"/>
  </w:font>
  <w:font w:name="TTE1724700t00">
    <w:altName w:val="TT E 172470 0t"/>
    <w:panose1 w:val="00000000000000000000"/>
    <w:charset w:val="00"/>
    <w:family w:val="swiss"/>
    <w:notTrueType/>
    <w:pitch w:val="default"/>
    <w:sig w:usb0="00000003" w:usb1="00000000" w:usb2="00000000" w:usb3="00000000" w:csb0="00000001" w:csb1="00000000"/>
  </w:font>
  <w:font w:name="TTE1CD66B0t00">
    <w:altName w:val="TT E 1 CD 66 B 0t"/>
    <w:panose1 w:val="00000000000000000000"/>
    <w:charset w:val="00"/>
    <w:family w:val="auto"/>
    <w:notTrueType/>
    <w:pitch w:val="default"/>
    <w:sig w:usb0="00000003" w:usb1="00000000" w:usb2="00000000" w:usb3="00000000" w:csb0="00000001" w:csb1="00000000"/>
  </w:font>
  <w:font w:name="TTE1CD6728t00">
    <w:altName w:val="TT E 1 CD 672 8t"/>
    <w:panose1 w:val="00000000000000000000"/>
    <w:charset w:val="00"/>
    <w:family w:val="swiss"/>
    <w:notTrueType/>
    <w:pitch w:val="default"/>
    <w:sig w:usb0="00000003" w:usb1="00000000" w:usb2="00000000" w:usb3="00000000" w:csb0="00000001" w:csb1="00000000"/>
  </w:font>
  <w:font w:name="TTE23E7750t00">
    <w:altName w:val="TT E 23 E 775 0t"/>
    <w:panose1 w:val="00000000000000000000"/>
    <w:charset w:val="00"/>
    <w:family w:val="swiss"/>
    <w:notTrueType/>
    <w:pitch w:val="default"/>
    <w:sig w:usb0="00000003" w:usb1="00000000" w:usb2="00000000" w:usb3="00000000" w:csb0="00000001" w:csb1="00000000"/>
  </w:font>
  <w:font w:name="TTE1DF63B8t00">
    <w:altName w:val="TT E 1 DF 63 B 8t"/>
    <w:panose1 w:val="00000000000000000000"/>
    <w:charset w:val="00"/>
    <w:family w:val="auto"/>
    <w:notTrueType/>
    <w:pitch w:val="default"/>
    <w:sig w:usb0="00000003" w:usb1="00000000" w:usb2="00000000" w:usb3="00000000" w:csb0="00000001" w:csb1="00000000"/>
  </w:font>
  <w:font w:name="Helvetica">
    <w:altName w:val="Helvetica"/>
    <w:panose1 w:val="020B0604020202020204"/>
    <w:charset w:val="00"/>
    <w:family w:val="swiss"/>
    <w:notTrueType/>
    <w:pitch w:val="variable"/>
    <w:sig w:usb0="00000003" w:usb1="00000000" w:usb2="00000000" w:usb3="00000000" w:csb0="00000001" w:csb1="00000000"/>
  </w:font>
  <w:font w:name="TTE1D06110t00">
    <w:altName w:val="TT E 1 D 0611 0t"/>
    <w:panose1 w:val="00000000000000000000"/>
    <w:charset w:val="00"/>
    <w:family w:val="swiss"/>
    <w:notTrueType/>
    <w:pitch w:val="default"/>
    <w:sig w:usb0="00000003" w:usb1="00000000" w:usb2="00000000" w:usb3="00000000" w:csb0="00000001" w:csb1="00000000"/>
  </w:font>
  <w:font w:name="TTE1D24708t00">
    <w:altName w:val="TT E 1 D 2470 8t"/>
    <w:panose1 w:val="00000000000000000000"/>
    <w:charset w:val="00"/>
    <w:family w:val="swiss"/>
    <w:notTrueType/>
    <w:pitch w:val="default"/>
    <w:sig w:usb0="00000003" w:usb1="00000000" w:usb2="00000000" w:usb3="00000000" w:csb0="00000001" w:csb1="00000000"/>
  </w:font>
  <w:font w:name="TTE1CDD628t00">
    <w:altName w:val="TT E 1 CD D 62 8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19279"/>
    <w:multiLevelType w:val="hybridMultilevel"/>
    <w:tmpl w:val="6489B9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49DC32"/>
    <w:multiLevelType w:val="hybridMultilevel"/>
    <w:tmpl w:val="B4999F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50B19EF"/>
    <w:multiLevelType w:val="hybridMultilevel"/>
    <w:tmpl w:val="1AA4AB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78D3F73B"/>
    <w:multiLevelType w:val="hybridMultilevel"/>
    <w:tmpl w:val="B8D431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B4F68"/>
    <w:rsid w:val="001245BD"/>
    <w:rsid w:val="007433DA"/>
    <w:rsid w:val="009B4F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TE23EEF90t00" w:hAnsi="TTE23EEF90t00" w:cs="TTE23EEF90t00"/>
      <w:color w:val="000000"/>
      <w:sz w:val="24"/>
      <w:szCs w:val="24"/>
    </w:rPr>
  </w:style>
  <w:style w:type="paragraph" w:customStyle="1" w:styleId="CM1">
    <w:name w:val="CM1"/>
    <w:basedOn w:val="Default"/>
    <w:next w:val="Default"/>
    <w:uiPriority w:val="99"/>
    <w:pPr>
      <w:spacing w:line="478" w:lineRule="atLeast"/>
    </w:pPr>
    <w:rPr>
      <w:rFonts w:cstheme="minorBidi"/>
      <w:color w:val="auto"/>
    </w:rPr>
  </w:style>
  <w:style w:type="paragraph" w:customStyle="1" w:styleId="CM34">
    <w:name w:val="CM34"/>
    <w:basedOn w:val="Default"/>
    <w:next w:val="Default"/>
    <w:uiPriority w:val="99"/>
    <w:rPr>
      <w:rFonts w:cstheme="minorBidi"/>
      <w:color w:val="auto"/>
    </w:rPr>
  </w:style>
  <w:style w:type="paragraph" w:customStyle="1" w:styleId="CM2">
    <w:name w:val="CM2"/>
    <w:basedOn w:val="Default"/>
    <w:next w:val="Default"/>
    <w:uiPriority w:val="99"/>
    <w:rPr>
      <w:rFonts w:cstheme="minorBidi"/>
      <w:color w:val="auto"/>
    </w:rPr>
  </w:style>
  <w:style w:type="paragraph" w:customStyle="1" w:styleId="CM35">
    <w:name w:val="CM35"/>
    <w:basedOn w:val="Default"/>
    <w:next w:val="Default"/>
    <w:uiPriority w:val="99"/>
    <w:rPr>
      <w:rFonts w:cstheme="minorBidi"/>
      <w:color w:val="auto"/>
    </w:rPr>
  </w:style>
  <w:style w:type="paragraph" w:customStyle="1" w:styleId="CM39">
    <w:name w:val="CM39"/>
    <w:basedOn w:val="Default"/>
    <w:next w:val="Default"/>
    <w:uiPriority w:val="99"/>
    <w:rPr>
      <w:rFonts w:cstheme="minorBidi"/>
      <w:color w:val="auto"/>
    </w:rPr>
  </w:style>
  <w:style w:type="paragraph" w:customStyle="1" w:styleId="CM37">
    <w:name w:val="CM37"/>
    <w:basedOn w:val="Default"/>
    <w:next w:val="Default"/>
    <w:uiPriority w:val="99"/>
    <w:rPr>
      <w:rFonts w:cstheme="minorBidi"/>
      <w:color w:val="auto"/>
    </w:rPr>
  </w:style>
  <w:style w:type="paragraph" w:customStyle="1" w:styleId="CM3">
    <w:name w:val="CM3"/>
    <w:basedOn w:val="Default"/>
    <w:next w:val="Default"/>
    <w:uiPriority w:val="99"/>
    <w:rPr>
      <w:rFonts w:cstheme="minorBidi"/>
      <w:color w:val="auto"/>
    </w:rPr>
  </w:style>
  <w:style w:type="paragraph" w:customStyle="1" w:styleId="CM4">
    <w:name w:val="CM4"/>
    <w:basedOn w:val="Default"/>
    <w:next w:val="Default"/>
    <w:uiPriority w:val="99"/>
    <w:pPr>
      <w:spacing w:line="288" w:lineRule="atLeast"/>
    </w:pPr>
    <w:rPr>
      <w:rFonts w:cstheme="minorBidi"/>
      <w:color w:val="auto"/>
    </w:rPr>
  </w:style>
  <w:style w:type="paragraph" w:customStyle="1" w:styleId="CM5">
    <w:name w:val="CM5"/>
    <w:basedOn w:val="Default"/>
    <w:next w:val="Default"/>
    <w:uiPriority w:val="99"/>
    <w:pPr>
      <w:spacing w:line="331" w:lineRule="atLeast"/>
    </w:pPr>
    <w:rPr>
      <w:rFonts w:cstheme="minorBidi"/>
      <w:color w:val="auto"/>
    </w:rPr>
  </w:style>
  <w:style w:type="paragraph" w:customStyle="1" w:styleId="CM38">
    <w:name w:val="CM38"/>
    <w:basedOn w:val="Default"/>
    <w:next w:val="Default"/>
    <w:uiPriority w:val="99"/>
    <w:rPr>
      <w:rFonts w:cstheme="minorBidi"/>
      <w:color w:val="auto"/>
    </w:rPr>
  </w:style>
  <w:style w:type="paragraph" w:customStyle="1" w:styleId="CM40">
    <w:name w:val="CM40"/>
    <w:basedOn w:val="Default"/>
    <w:next w:val="Default"/>
    <w:uiPriority w:val="99"/>
    <w:rPr>
      <w:rFonts w:cstheme="minorBidi"/>
      <w:color w:val="auto"/>
    </w:rPr>
  </w:style>
  <w:style w:type="paragraph" w:customStyle="1" w:styleId="CM6">
    <w:name w:val="CM6"/>
    <w:basedOn w:val="Default"/>
    <w:next w:val="Default"/>
    <w:uiPriority w:val="99"/>
    <w:pPr>
      <w:spacing w:line="286" w:lineRule="atLeast"/>
    </w:pPr>
    <w:rPr>
      <w:rFonts w:cstheme="minorBidi"/>
      <w:color w:val="auto"/>
    </w:rPr>
  </w:style>
  <w:style w:type="paragraph" w:customStyle="1" w:styleId="CM7">
    <w:name w:val="CM7"/>
    <w:basedOn w:val="Default"/>
    <w:next w:val="Default"/>
    <w:uiPriority w:val="99"/>
    <w:pPr>
      <w:spacing w:line="286" w:lineRule="atLeast"/>
    </w:pPr>
    <w:rPr>
      <w:rFonts w:cstheme="minorBidi"/>
      <w:color w:val="auto"/>
    </w:rPr>
  </w:style>
  <w:style w:type="paragraph" w:customStyle="1" w:styleId="CM8">
    <w:name w:val="CM8"/>
    <w:basedOn w:val="Default"/>
    <w:next w:val="Default"/>
    <w:uiPriority w:val="99"/>
    <w:pPr>
      <w:spacing w:line="286" w:lineRule="atLeast"/>
    </w:pPr>
    <w:rPr>
      <w:rFonts w:cstheme="minorBidi"/>
      <w:color w:val="auto"/>
    </w:rPr>
  </w:style>
  <w:style w:type="paragraph" w:customStyle="1" w:styleId="CM9">
    <w:name w:val="CM9"/>
    <w:basedOn w:val="Default"/>
    <w:next w:val="Default"/>
    <w:uiPriority w:val="99"/>
    <w:pPr>
      <w:spacing w:line="286" w:lineRule="atLeast"/>
    </w:pPr>
    <w:rPr>
      <w:rFonts w:cstheme="minorBidi"/>
      <w:color w:val="auto"/>
    </w:rPr>
  </w:style>
  <w:style w:type="paragraph" w:customStyle="1" w:styleId="CM10">
    <w:name w:val="CM10"/>
    <w:basedOn w:val="Default"/>
    <w:next w:val="Default"/>
    <w:uiPriority w:val="99"/>
    <w:pPr>
      <w:spacing w:line="286" w:lineRule="atLeast"/>
    </w:pPr>
    <w:rPr>
      <w:rFonts w:cstheme="minorBidi"/>
      <w:color w:val="auto"/>
    </w:rPr>
  </w:style>
  <w:style w:type="paragraph" w:customStyle="1" w:styleId="CM36">
    <w:name w:val="CM36"/>
    <w:basedOn w:val="Default"/>
    <w:next w:val="Default"/>
    <w:uiPriority w:val="99"/>
    <w:rPr>
      <w:rFonts w:cstheme="minorBidi"/>
      <w:color w:val="auto"/>
    </w:rPr>
  </w:style>
  <w:style w:type="paragraph" w:customStyle="1" w:styleId="CM41">
    <w:name w:val="CM41"/>
    <w:basedOn w:val="Default"/>
    <w:next w:val="Default"/>
    <w:uiPriority w:val="99"/>
    <w:rPr>
      <w:rFonts w:cstheme="minorBidi"/>
      <w:color w:val="auto"/>
    </w:rPr>
  </w:style>
  <w:style w:type="paragraph" w:customStyle="1" w:styleId="CM11">
    <w:name w:val="CM11"/>
    <w:basedOn w:val="Default"/>
    <w:next w:val="Default"/>
    <w:uiPriority w:val="99"/>
    <w:pPr>
      <w:spacing w:line="240" w:lineRule="atLeast"/>
    </w:pPr>
    <w:rPr>
      <w:rFonts w:cstheme="minorBidi"/>
      <w:color w:val="auto"/>
    </w:rPr>
  </w:style>
  <w:style w:type="paragraph" w:customStyle="1" w:styleId="CM42">
    <w:name w:val="CM42"/>
    <w:basedOn w:val="Default"/>
    <w:next w:val="Default"/>
    <w:uiPriority w:val="99"/>
    <w:rPr>
      <w:rFonts w:cstheme="minorBidi"/>
      <w:color w:val="auto"/>
    </w:rPr>
  </w:style>
  <w:style w:type="paragraph" w:customStyle="1" w:styleId="CM12">
    <w:name w:val="CM12"/>
    <w:basedOn w:val="Default"/>
    <w:next w:val="Default"/>
    <w:uiPriority w:val="99"/>
    <w:pPr>
      <w:spacing w:line="220" w:lineRule="atLeast"/>
    </w:pPr>
    <w:rPr>
      <w:rFonts w:cstheme="minorBidi"/>
      <w:color w:val="auto"/>
    </w:rPr>
  </w:style>
  <w:style w:type="paragraph" w:customStyle="1" w:styleId="CM13">
    <w:name w:val="CM13"/>
    <w:basedOn w:val="Default"/>
    <w:next w:val="Default"/>
    <w:uiPriority w:val="99"/>
    <w:pPr>
      <w:spacing w:line="286" w:lineRule="atLeast"/>
    </w:pPr>
    <w:rPr>
      <w:rFonts w:cstheme="minorBidi"/>
      <w:color w:val="auto"/>
    </w:rPr>
  </w:style>
  <w:style w:type="paragraph" w:customStyle="1" w:styleId="CM43">
    <w:name w:val="CM43"/>
    <w:basedOn w:val="Default"/>
    <w:next w:val="Default"/>
    <w:uiPriority w:val="99"/>
    <w:rPr>
      <w:rFonts w:cstheme="minorBidi"/>
      <w:color w:val="auto"/>
    </w:rPr>
  </w:style>
  <w:style w:type="paragraph" w:customStyle="1" w:styleId="CM44">
    <w:name w:val="CM44"/>
    <w:basedOn w:val="Default"/>
    <w:next w:val="Default"/>
    <w:uiPriority w:val="99"/>
    <w:rPr>
      <w:rFonts w:cstheme="minorBidi"/>
      <w:color w:val="auto"/>
    </w:rPr>
  </w:style>
  <w:style w:type="paragraph" w:customStyle="1" w:styleId="CM15">
    <w:name w:val="CM15"/>
    <w:basedOn w:val="Default"/>
    <w:next w:val="Default"/>
    <w:uiPriority w:val="99"/>
    <w:rPr>
      <w:rFonts w:cstheme="minorBidi"/>
      <w:color w:val="auto"/>
    </w:rPr>
  </w:style>
  <w:style w:type="paragraph" w:customStyle="1" w:styleId="CM16">
    <w:name w:val="CM16"/>
    <w:basedOn w:val="Default"/>
    <w:next w:val="Default"/>
    <w:uiPriority w:val="99"/>
    <w:pPr>
      <w:spacing w:line="328" w:lineRule="atLeast"/>
    </w:pPr>
    <w:rPr>
      <w:rFonts w:cstheme="minorBidi"/>
      <w:color w:val="auto"/>
    </w:rPr>
  </w:style>
  <w:style w:type="paragraph" w:customStyle="1" w:styleId="CM17">
    <w:name w:val="CM17"/>
    <w:basedOn w:val="Default"/>
    <w:next w:val="Default"/>
    <w:uiPriority w:val="99"/>
    <w:pPr>
      <w:spacing w:line="286" w:lineRule="atLeast"/>
    </w:pPr>
    <w:rPr>
      <w:rFonts w:cstheme="minorBidi"/>
      <w:color w:val="auto"/>
    </w:rPr>
  </w:style>
  <w:style w:type="paragraph" w:customStyle="1" w:styleId="CM18">
    <w:name w:val="CM18"/>
    <w:basedOn w:val="Default"/>
    <w:next w:val="Default"/>
    <w:uiPriority w:val="99"/>
    <w:pPr>
      <w:spacing w:line="291" w:lineRule="atLeast"/>
    </w:pPr>
    <w:rPr>
      <w:rFonts w:cstheme="minorBidi"/>
      <w:color w:val="auto"/>
    </w:rPr>
  </w:style>
  <w:style w:type="paragraph" w:customStyle="1" w:styleId="CM19">
    <w:name w:val="CM19"/>
    <w:basedOn w:val="Default"/>
    <w:next w:val="Default"/>
    <w:uiPriority w:val="99"/>
    <w:pPr>
      <w:spacing w:line="293" w:lineRule="atLeast"/>
    </w:pPr>
    <w:rPr>
      <w:rFonts w:cstheme="minorBidi"/>
      <w:color w:val="auto"/>
    </w:rPr>
  </w:style>
  <w:style w:type="paragraph" w:customStyle="1" w:styleId="CM21">
    <w:name w:val="CM21"/>
    <w:basedOn w:val="Default"/>
    <w:next w:val="Default"/>
    <w:uiPriority w:val="99"/>
    <w:pPr>
      <w:spacing w:line="331" w:lineRule="atLeast"/>
    </w:pPr>
    <w:rPr>
      <w:rFonts w:cstheme="minorBidi"/>
      <w:color w:val="auto"/>
    </w:rPr>
  </w:style>
  <w:style w:type="paragraph" w:customStyle="1" w:styleId="CM20">
    <w:name w:val="CM20"/>
    <w:basedOn w:val="Default"/>
    <w:next w:val="Default"/>
    <w:uiPriority w:val="99"/>
    <w:pPr>
      <w:spacing w:line="286" w:lineRule="atLeast"/>
    </w:pPr>
    <w:rPr>
      <w:rFonts w:cstheme="minorBidi"/>
      <w:color w:val="auto"/>
    </w:rPr>
  </w:style>
  <w:style w:type="paragraph" w:customStyle="1" w:styleId="CM22">
    <w:name w:val="CM22"/>
    <w:basedOn w:val="Default"/>
    <w:next w:val="Default"/>
    <w:uiPriority w:val="99"/>
    <w:pPr>
      <w:spacing w:line="243" w:lineRule="atLeast"/>
    </w:pPr>
    <w:rPr>
      <w:rFonts w:cstheme="minorBidi"/>
      <w:color w:val="auto"/>
    </w:rPr>
  </w:style>
  <w:style w:type="paragraph" w:customStyle="1" w:styleId="CM47">
    <w:name w:val="CM47"/>
    <w:basedOn w:val="Default"/>
    <w:next w:val="Default"/>
    <w:uiPriority w:val="99"/>
    <w:rPr>
      <w:rFonts w:cstheme="minorBidi"/>
      <w:color w:val="auto"/>
    </w:rPr>
  </w:style>
  <w:style w:type="paragraph" w:customStyle="1" w:styleId="CM45">
    <w:name w:val="CM45"/>
    <w:basedOn w:val="Default"/>
    <w:next w:val="Default"/>
    <w:uiPriority w:val="99"/>
    <w:rPr>
      <w:rFonts w:cstheme="minorBidi"/>
      <w:color w:val="auto"/>
    </w:rPr>
  </w:style>
  <w:style w:type="paragraph" w:customStyle="1" w:styleId="CM23">
    <w:name w:val="CM23"/>
    <w:basedOn w:val="Default"/>
    <w:next w:val="Default"/>
    <w:uiPriority w:val="99"/>
    <w:pPr>
      <w:spacing w:line="271" w:lineRule="atLeast"/>
    </w:pPr>
    <w:rPr>
      <w:rFonts w:cstheme="minorBidi"/>
      <w:color w:val="auto"/>
    </w:rPr>
  </w:style>
  <w:style w:type="paragraph" w:customStyle="1" w:styleId="CM24">
    <w:name w:val="CM24"/>
    <w:basedOn w:val="Default"/>
    <w:next w:val="Default"/>
    <w:uiPriority w:val="99"/>
    <w:rPr>
      <w:rFonts w:cstheme="minorBidi"/>
      <w:color w:val="auto"/>
    </w:rPr>
  </w:style>
  <w:style w:type="paragraph" w:customStyle="1" w:styleId="CM25">
    <w:name w:val="CM25"/>
    <w:basedOn w:val="Default"/>
    <w:next w:val="Default"/>
    <w:uiPriority w:val="99"/>
    <w:pPr>
      <w:spacing w:line="186" w:lineRule="atLeast"/>
    </w:pPr>
    <w:rPr>
      <w:rFonts w:cstheme="minorBidi"/>
      <w:color w:val="auto"/>
    </w:rPr>
  </w:style>
  <w:style w:type="paragraph" w:customStyle="1" w:styleId="CM26">
    <w:name w:val="CM26"/>
    <w:basedOn w:val="Default"/>
    <w:next w:val="Default"/>
    <w:uiPriority w:val="99"/>
    <w:pPr>
      <w:spacing w:line="198" w:lineRule="atLeast"/>
    </w:pPr>
    <w:rPr>
      <w:rFonts w:cstheme="minorBidi"/>
      <w:color w:val="auto"/>
    </w:rPr>
  </w:style>
  <w:style w:type="paragraph" w:customStyle="1" w:styleId="CM46">
    <w:name w:val="CM46"/>
    <w:basedOn w:val="Default"/>
    <w:next w:val="Default"/>
    <w:uiPriority w:val="99"/>
    <w:rPr>
      <w:rFonts w:cstheme="minorBidi"/>
      <w:color w:val="auto"/>
    </w:rPr>
  </w:style>
  <w:style w:type="paragraph" w:customStyle="1" w:styleId="CM27">
    <w:name w:val="CM27"/>
    <w:basedOn w:val="Default"/>
    <w:next w:val="Default"/>
    <w:uiPriority w:val="99"/>
    <w:pPr>
      <w:spacing w:line="288" w:lineRule="atLeast"/>
    </w:pPr>
    <w:rPr>
      <w:rFonts w:cstheme="minorBidi"/>
      <w:color w:val="auto"/>
    </w:rPr>
  </w:style>
  <w:style w:type="paragraph" w:customStyle="1" w:styleId="CM28">
    <w:name w:val="CM28"/>
    <w:basedOn w:val="Default"/>
    <w:next w:val="Default"/>
    <w:uiPriority w:val="99"/>
    <w:pPr>
      <w:spacing w:line="538" w:lineRule="atLeast"/>
    </w:pPr>
    <w:rPr>
      <w:rFonts w:cstheme="minorBidi"/>
      <w:color w:val="auto"/>
    </w:rPr>
  </w:style>
  <w:style w:type="paragraph" w:customStyle="1" w:styleId="CM29">
    <w:name w:val="CM29"/>
    <w:basedOn w:val="Default"/>
    <w:next w:val="Default"/>
    <w:uiPriority w:val="99"/>
    <w:pPr>
      <w:spacing w:line="328" w:lineRule="atLeast"/>
    </w:pPr>
    <w:rPr>
      <w:rFonts w:cstheme="minorBidi"/>
      <w:color w:val="auto"/>
    </w:rPr>
  </w:style>
  <w:style w:type="paragraph" w:customStyle="1" w:styleId="CM30">
    <w:name w:val="CM30"/>
    <w:basedOn w:val="Default"/>
    <w:next w:val="Default"/>
    <w:uiPriority w:val="99"/>
    <w:pPr>
      <w:spacing w:line="328" w:lineRule="atLeast"/>
    </w:pPr>
    <w:rPr>
      <w:rFonts w:cstheme="minorBidi"/>
      <w:color w:val="auto"/>
    </w:rPr>
  </w:style>
  <w:style w:type="paragraph" w:customStyle="1" w:styleId="CM32">
    <w:name w:val="CM32"/>
    <w:basedOn w:val="Default"/>
    <w:next w:val="Default"/>
    <w:uiPriority w:val="99"/>
    <w:pPr>
      <w:spacing w:line="328"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7084</Words>
  <Characters>37192</Characters>
  <Application>Microsoft Office Word</Application>
  <DocSecurity>0</DocSecurity>
  <Lines>929</Lines>
  <Paragraphs>330</Paragraphs>
  <ScaleCrop>false</ScaleCrop>
  <Company/>
  <LinksUpToDate>false</LinksUpToDate>
  <CharactersWithSpaces>43946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BASES FIC 2012  CONCURSO Visadas por SUBDERE.docx</dc:title>
  <dc:creator>jhmirand</dc:creator>
  <cp:lastModifiedBy>joyarzun</cp:lastModifiedBy>
  <cp:revision>2</cp:revision>
  <dcterms:created xsi:type="dcterms:W3CDTF">2012-05-25T14:35:00Z</dcterms:created>
  <dcterms:modified xsi:type="dcterms:W3CDTF">2012-05-25T14:35:00Z</dcterms:modified>
</cp:coreProperties>
</file>